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F343A6" w:rsidRPr="004F67D1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F343A6" w:rsidRPr="004F67D1" w:rsidRDefault="003E204F" w:rsidP="004F67D1">
            <w:pPr>
              <w:pStyle w:val="a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F343A6" w:rsidRPr="004F67D1" w:rsidRDefault="00F343A6" w:rsidP="00FF4746">
            <w:pPr>
              <w:pStyle w:val="a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7D1">
              <w:rPr>
                <w:rFonts w:ascii="Arial" w:hAnsi="Arial" w:cs="Arial"/>
                <w:b/>
                <w:color w:val="000000"/>
                <w:spacing w:val="-1"/>
              </w:rPr>
              <w:t xml:space="preserve">ТЕРРИТОРИАЛЬНЫЙ ОРГАН ФЕДЕРАЛЬНОЙ СЛУЖБЫ </w:t>
            </w:r>
            <w:r w:rsidRPr="004F67D1">
              <w:rPr>
                <w:rFonts w:ascii="Arial" w:hAnsi="Arial" w:cs="Arial"/>
                <w:b/>
                <w:color w:val="000000"/>
              </w:rPr>
              <w:t>ГОСУДАРСТВЕННОЙ СТАТИСТИКИ ПО ВЛАДИМИРСКОЙ</w:t>
            </w:r>
            <w:r w:rsidRPr="004F67D1">
              <w:rPr>
                <w:rFonts w:ascii="Arial" w:hAnsi="Arial" w:cs="Arial"/>
                <w:b/>
                <w:color w:val="000000"/>
                <w:spacing w:val="-4"/>
              </w:rPr>
              <w:t xml:space="preserve"> ОБЛАСТИ</w:t>
            </w:r>
          </w:p>
        </w:tc>
      </w:tr>
      <w:tr w:rsidR="00F343A6" w:rsidRPr="00D025E1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F343A6" w:rsidRPr="00D025E1" w:rsidRDefault="00BD5356" w:rsidP="00FC3AA4">
            <w:pPr>
              <w:pStyle w:val="ae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F343A6" w:rsidRPr="00D025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AA4" w:rsidRPr="00D025E1"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  <w:r w:rsidR="00F343A6" w:rsidRPr="00D025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AA4" w:rsidRPr="00D025E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343A6" w:rsidRPr="00D025E1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FC3AA4" w:rsidRPr="00D025E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343A6" w:rsidRPr="00D025E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F343A6" w:rsidRPr="00D025E1" w:rsidRDefault="00F343A6" w:rsidP="00297C5D">
            <w:pPr>
              <w:pStyle w:val="ae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025E1">
              <w:rPr>
                <w:rFonts w:ascii="Arial" w:hAnsi="Arial" w:cs="Arial"/>
                <w:b/>
                <w:sz w:val="24"/>
                <w:szCs w:val="24"/>
              </w:rPr>
              <w:t>Пресс-релиз</w:t>
            </w:r>
          </w:p>
        </w:tc>
      </w:tr>
    </w:tbl>
    <w:p w:rsidR="007167EF" w:rsidRPr="00410149" w:rsidRDefault="007167EF" w:rsidP="007167EF">
      <w:pPr>
        <w:pStyle w:val="1"/>
        <w:spacing w:before="100" w:beforeAutospacing="1"/>
        <w:jc w:val="center"/>
        <w:rPr>
          <w:color w:val="auto"/>
        </w:rPr>
      </w:pPr>
      <w:r w:rsidRPr="00410149">
        <w:rPr>
          <w:color w:val="auto"/>
        </w:rPr>
        <w:t>Занятость и безработица  во Владимирской области в 2017 году</w:t>
      </w:r>
    </w:p>
    <w:p w:rsidR="007167EF" w:rsidRPr="00410149" w:rsidRDefault="007167EF" w:rsidP="007167EF">
      <w:pPr>
        <w:pStyle w:val="1"/>
        <w:spacing w:before="100" w:beforeAutospacing="1"/>
        <w:jc w:val="center"/>
        <w:rPr>
          <w:b w:val="0"/>
          <w:i/>
          <w:color w:val="auto"/>
        </w:rPr>
      </w:pPr>
      <w:r w:rsidRPr="00410149">
        <w:rPr>
          <w:b w:val="0"/>
          <w:i/>
          <w:color w:val="auto"/>
        </w:rPr>
        <w:t xml:space="preserve">( по итогам </w:t>
      </w:r>
      <w:r w:rsidR="00410149">
        <w:rPr>
          <w:b w:val="0"/>
          <w:i/>
          <w:color w:val="auto"/>
        </w:rPr>
        <w:t xml:space="preserve">выборочного </w:t>
      </w:r>
      <w:r w:rsidRPr="00410149">
        <w:rPr>
          <w:b w:val="0"/>
          <w:i/>
          <w:color w:val="auto"/>
        </w:rPr>
        <w:t>обследования рабочей силы)</w:t>
      </w:r>
    </w:p>
    <w:p w:rsidR="00127DA4" w:rsidRPr="00410149" w:rsidRDefault="00127DA4" w:rsidP="00F36A1F">
      <w:pPr>
        <w:ind w:firstLine="709"/>
        <w:rPr>
          <w:sz w:val="28"/>
          <w:szCs w:val="28"/>
        </w:rPr>
      </w:pPr>
    </w:p>
    <w:p w:rsidR="002A6158" w:rsidRDefault="00127DA4" w:rsidP="002A6158">
      <w:pPr>
        <w:pStyle w:val="af1"/>
        <w:ind w:firstLine="709"/>
        <w:jc w:val="both"/>
      </w:pPr>
      <w:r w:rsidRPr="00F36A1F">
        <w:t xml:space="preserve">Сколько экономически активного населения во Владимирской области, где работают жители, сколько среди них безработных? Самые свежие данные </w:t>
      </w:r>
      <w:r w:rsidR="00F36A1F" w:rsidRPr="00F36A1F">
        <w:t xml:space="preserve">по этим важным показателям можно узнать из итогов </w:t>
      </w:r>
      <w:r w:rsidRPr="00F36A1F">
        <w:t>выборочного обследования рабочей силы</w:t>
      </w:r>
      <w:r w:rsidR="00F36A1F" w:rsidRPr="00F36A1F">
        <w:t xml:space="preserve"> за 2017г.</w:t>
      </w:r>
      <w:r w:rsidRPr="00F36A1F">
        <w:t xml:space="preserve"> Результаты обследования показали, что в 33 регионе численность </w:t>
      </w:r>
      <w:r w:rsidRPr="00F36A1F">
        <w:rPr>
          <w:b/>
          <w:bCs/>
        </w:rPr>
        <w:t xml:space="preserve">рабочей силы </w:t>
      </w:r>
      <w:r w:rsidRPr="00F36A1F">
        <w:t>(занятые + безработные) в возрасте 15-72 лет состав</w:t>
      </w:r>
      <w:r w:rsidR="00F36A1F" w:rsidRPr="00F36A1F">
        <w:t>ляла</w:t>
      </w:r>
      <w:r w:rsidRPr="00F36A1F">
        <w:t xml:space="preserve"> </w:t>
      </w:r>
      <w:r w:rsidRPr="00D025E1">
        <w:rPr>
          <w:b/>
        </w:rPr>
        <w:t>730</w:t>
      </w:r>
      <w:r w:rsidR="00851BA4">
        <w:rPr>
          <w:b/>
        </w:rPr>
        <w:t>,2</w:t>
      </w:r>
      <w:r w:rsidRPr="00D025E1">
        <w:rPr>
          <w:b/>
        </w:rPr>
        <w:t xml:space="preserve"> тыс</w:t>
      </w:r>
      <w:r w:rsidRPr="00F36A1F">
        <w:t xml:space="preserve">. человек, </w:t>
      </w:r>
      <w:r w:rsidR="002E42B8">
        <w:rPr>
          <w:b/>
        </w:rPr>
        <w:t>69,4</w:t>
      </w:r>
      <w:r w:rsidRPr="002A6158">
        <w:rPr>
          <w:b/>
        </w:rPr>
        <w:t>%</w:t>
      </w:r>
      <w:r w:rsidRPr="00F36A1F">
        <w:t xml:space="preserve"> от общей численности нас</w:t>
      </w:r>
      <w:r w:rsidR="00F36A1F" w:rsidRPr="00F36A1F">
        <w:t>е</w:t>
      </w:r>
      <w:r w:rsidR="002A6158">
        <w:t>ления области этого возраста. В 2016г. численность экономически активного населения региона в возрасте 15-72 лет в среднем была</w:t>
      </w:r>
      <w:r w:rsidR="00851BA4">
        <w:t xml:space="preserve"> больше </w:t>
      </w:r>
      <w:r w:rsidR="00851BA4" w:rsidRPr="00851BA4">
        <w:rPr>
          <w:b/>
        </w:rPr>
        <w:t xml:space="preserve">на 6,5 </w:t>
      </w:r>
      <w:r w:rsidR="002A6158" w:rsidRPr="00851BA4">
        <w:rPr>
          <w:b/>
        </w:rPr>
        <w:t xml:space="preserve">тыс. </w:t>
      </w:r>
      <w:r w:rsidR="002A6158">
        <w:t>человек (</w:t>
      </w:r>
      <w:r w:rsidR="002A6158" w:rsidRPr="002E42B8">
        <w:rPr>
          <w:b/>
        </w:rPr>
        <w:t>73</w:t>
      </w:r>
      <w:r w:rsidR="00851BA4">
        <w:rPr>
          <w:b/>
        </w:rPr>
        <w:t>6,7</w:t>
      </w:r>
      <w:r w:rsidR="002A6158" w:rsidRPr="002E42B8">
        <w:rPr>
          <w:b/>
        </w:rPr>
        <w:t xml:space="preserve"> ты</w:t>
      </w:r>
      <w:r w:rsidR="0005140A">
        <w:rPr>
          <w:b/>
        </w:rPr>
        <w:t>с</w:t>
      </w:r>
      <w:r w:rsidR="002A6158" w:rsidRPr="002E42B8">
        <w:rPr>
          <w:b/>
        </w:rPr>
        <w:t>.,</w:t>
      </w:r>
      <w:r w:rsidR="002A6158">
        <w:t xml:space="preserve">  </w:t>
      </w:r>
      <w:r w:rsidR="00851BA4">
        <w:rPr>
          <w:b/>
        </w:rPr>
        <w:t>69,5</w:t>
      </w:r>
      <w:r w:rsidR="002A6158" w:rsidRPr="002E42B8">
        <w:rPr>
          <w:b/>
        </w:rPr>
        <w:t>%</w:t>
      </w:r>
      <w:r w:rsidR="0005140A">
        <w:rPr>
          <w:b/>
        </w:rPr>
        <w:t>)</w:t>
      </w:r>
      <w:r w:rsidR="002E42B8">
        <w:t>.</w:t>
      </w:r>
      <w:r w:rsidR="002A6158">
        <w:t xml:space="preserve"> </w:t>
      </w:r>
    </w:p>
    <w:p w:rsidR="002E42B8" w:rsidRPr="006D249B" w:rsidRDefault="002E42B8" w:rsidP="002E42B8">
      <w:pPr>
        <w:widowControl/>
        <w:autoSpaceDE/>
        <w:adjustRightInd/>
        <w:ind w:firstLine="709"/>
        <w:jc w:val="both"/>
        <w:rPr>
          <w:b/>
          <w:i/>
          <w:sz w:val="28"/>
          <w:szCs w:val="28"/>
        </w:rPr>
      </w:pPr>
      <w:r w:rsidRPr="006D249B">
        <w:rPr>
          <w:b/>
          <w:i/>
          <w:sz w:val="28"/>
          <w:szCs w:val="28"/>
        </w:rPr>
        <w:t xml:space="preserve">        </w:t>
      </w:r>
    </w:p>
    <w:p w:rsidR="00AC2621" w:rsidRDefault="004B507B" w:rsidP="00AC2621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Большинство</w:t>
      </w:r>
      <w:r w:rsidRPr="004B50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владимирцев</w:t>
      </w:r>
      <w:proofErr w:type="spellEnd"/>
      <w:r w:rsidRPr="004B507B">
        <w:rPr>
          <w:b/>
          <w:sz w:val="28"/>
          <w:szCs w:val="28"/>
        </w:rPr>
        <w:t xml:space="preserve"> работа</w:t>
      </w:r>
      <w:r>
        <w:rPr>
          <w:b/>
          <w:sz w:val="28"/>
          <w:szCs w:val="28"/>
        </w:rPr>
        <w:t>ют по найму</w:t>
      </w:r>
      <w:r w:rsidRPr="004B507B">
        <w:rPr>
          <w:b/>
          <w:sz w:val="28"/>
          <w:szCs w:val="28"/>
        </w:rPr>
        <w:t xml:space="preserve"> </w:t>
      </w:r>
    </w:p>
    <w:p w:rsidR="004B507B" w:rsidRPr="00AC2621" w:rsidRDefault="004B507B" w:rsidP="00AC2621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42B8" w:rsidRDefault="007167EF" w:rsidP="00AC2621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36A1F">
        <w:t xml:space="preserve">В численности рабочей силы около </w:t>
      </w:r>
      <w:r w:rsidRPr="00D025E1">
        <w:rPr>
          <w:b/>
        </w:rPr>
        <w:t>695 тыс.</w:t>
      </w:r>
      <w:r w:rsidRPr="00F36A1F">
        <w:t xml:space="preserve"> человек классифицировались как </w:t>
      </w:r>
      <w:r w:rsidRPr="00F36A1F">
        <w:rPr>
          <w:bCs/>
        </w:rPr>
        <w:t>занятые</w:t>
      </w:r>
      <w:r w:rsidRPr="00F36A1F">
        <w:t xml:space="preserve"> экономической деятельностью </w:t>
      </w:r>
      <w:r w:rsidR="00F36A1F" w:rsidRPr="00F36A1F">
        <w:t>(работающие на постоянной основе и  имеющие временный характер работы).</w:t>
      </w:r>
      <w:r w:rsidR="002E42B8" w:rsidRPr="002E42B8">
        <w:t xml:space="preserve"> Это</w:t>
      </w:r>
      <w:r w:rsidR="001E5705">
        <w:t xml:space="preserve"> </w:t>
      </w:r>
      <w:r w:rsidR="002E42B8">
        <w:rPr>
          <w:b/>
        </w:rPr>
        <w:t>66</w:t>
      </w:r>
      <w:r w:rsidR="00851BA4">
        <w:rPr>
          <w:b/>
        </w:rPr>
        <w:t>,1</w:t>
      </w:r>
      <w:r w:rsidR="002E42B8" w:rsidRPr="002E42B8">
        <w:rPr>
          <w:b/>
        </w:rPr>
        <w:t>%</w:t>
      </w:r>
      <w:r w:rsidR="002E42B8" w:rsidRPr="002E42B8">
        <w:t xml:space="preserve"> от общей численности населения области в возрасте 15-72 лет. </w:t>
      </w:r>
      <w:r w:rsidR="002E42B8">
        <w:t xml:space="preserve">Годом ранее  имеющих доходное занятие было </w:t>
      </w:r>
      <w:r w:rsidR="002E42B8" w:rsidRPr="002E42B8">
        <w:rPr>
          <w:b/>
        </w:rPr>
        <w:t>696 тыс</w:t>
      </w:r>
      <w:r w:rsidR="002E42B8">
        <w:t xml:space="preserve">. человек </w:t>
      </w:r>
      <w:r w:rsidR="002E42B8" w:rsidRPr="002E42B8">
        <w:rPr>
          <w:b/>
        </w:rPr>
        <w:t>(66%)</w:t>
      </w:r>
      <w:r w:rsidR="002E42B8">
        <w:rPr>
          <w:b/>
        </w:rPr>
        <w:t xml:space="preserve">. </w:t>
      </w:r>
    </w:p>
    <w:p w:rsidR="00F36A1F" w:rsidRDefault="00F36A1F" w:rsidP="00AC2621">
      <w:pPr>
        <w:pStyle w:val="af1"/>
        <w:spacing w:before="0" w:beforeAutospacing="0" w:after="0" w:afterAutospacing="0"/>
        <w:ind w:firstLine="709"/>
        <w:jc w:val="both"/>
      </w:pPr>
      <w:r w:rsidRPr="00F36A1F">
        <w:t>Большая часть занятых - это население, проживающее в городской местности, на долю сельск</w:t>
      </w:r>
      <w:r w:rsidR="00EB6CCE">
        <w:t xml:space="preserve">ого населения приходится только </w:t>
      </w:r>
      <w:r w:rsidR="00EB6CCE" w:rsidRPr="001E5705">
        <w:t>пятая</w:t>
      </w:r>
      <w:r w:rsidRPr="001E5705">
        <w:rPr>
          <w:color w:val="FF0000"/>
        </w:rPr>
        <w:t xml:space="preserve">  </w:t>
      </w:r>
      <w:r w:rsidRPr="001E5705">
        <w:t>часть</w:t>
      </w:r>
      <w:r w:rsidRPr="00F36A1F">
        <w:t xml:space="preserve"> из общего числа занятых жителей области.</w:t>
      </w:r>
      <w:r w:rsidR="00D025E1" w:rsidRPr="00D025E1">
        <w:t xml:space="preserve"> </w:t>
      </w:r>
    </w:p>
    <w:p w:rsidR="00AC2621" w:rsidRDefault="00AC2621" w:rsidP="00AC2621">
      <w:pPr>
        <w:pStyle w:val="af1"/>
        <w:spacing w:before="0" w:beforeAutospacing="0" w:after="0" w:afterAutospacing="0"/>
        <w:ind w:firstLine="709"/>
        <w:jc w:val="both"/>
        <w:rPr>
          <w:color w:val="FF0000"/>
        </w:rPr>
      </w:pPr>
    </w:p>
    <w:p w:rsidR="00EB6CCE" w:rsidRDefault="00D025E1" w:rsidP="00AC2621">
      <w:pPr>
        <w:pStyle w:val="af1"/>
        <w:spacing w:before="0" w:beforeAutospacing="0" w:after="0" w:afterAutospacing="0"/>
        <w:ind w:firstLine="709"/>
        <w:jc w:val="both"/>
      </w:pPr>
      <w:r w:rsidRPr="004B507B">
        <w:rPr>
          <w:b/>
        </w:rPr>
        <w:t>В труд</w:t>
      </w:r>
      <w:r w:rsidR="00EB6CCE" w:rsidRPr="004B507B">
        <w:rPr>
          <w:b/>
        </w:rPr>
        <w:t>оспособном возрасте трудится</w:t>
      </w:r>
      <w:r w:rsidR="00EB6CCE">
        <w:t xml:space="preserve"> </w:t>
      </w:r>
      <w:r w:rsidR="00EB6CCE" w:rsidRPr="004B507B">
        <w:rPr>
          <w:b/>
        </w:rPr>
        <w:t xml:space="preserve">616 </w:t>
      </w:r>
      <w:r w:rsidRPr="004B507B">
        <w:rPr>
          <w:b/>
        </w:rPr>
        <w:t>ты</w:t>
      </w:r>
      <w:r w:rsidR="00EB6CCE" w:rsidRPr="004B507B">
        <w:rPr>
          <w:b/>
        </w:rPr>
        <w:t>с</w:t>
      </w:r>
      <w:r w:rsidR="00EB6CCE">
        <w:t xml:space="preserve">. человек, при этом мужчин на </w:t>
      </w:r>
      <w:r w:rsidR="00EB6CCE" w:rsidRPr="004B507B">
        <w:rPr>
          <w:b/>
        </w:rPr>
        <w:t>49</w:t>
      </w:r>
      <w:r w:rsidRPr="004B507B">
        <w:rPr>
          <w:b/>
        </w:rPr>
        <w:t xml:space="preserve"> тыс</w:t>
      </w:r>
      <w:r>
        <w:t>. человек больше, чем женщин. Средний возра</w:t>
      </w:r>
      <w:r w:rsidR="00EB6CCE">
        <w:t xml:space="preserve">ст занятого населения составил </w:t>
      </w:r>
      <w:r w:rsidR="00EB6CCE" w:rsidRPr="004B507B">
        <w:rPr>
          <w:b/>
        </w:rPr>
        <w:t>41</w:t>
      </w:r>
      <w:r w:rsidR="004B507B" w:rsidRPr="004B507B">
        <w:rPr>
          <w:b/>
        </w:rPr>
        <w:t xml:space="preserve"> год</w:t>
      </w:r>
      <w:r w:rsidR="004B507B">
        <w:t xml:space="preserve"> (в 2016г.- 41,1 года).</w:t>
      </w:r>
      <w:r>
        <w:t xml:space="preserve"> Необходимо отметить, что</w:t>
      </w:r>
      <w:r w:rsidR="00EB6CCE">
        <w:t xml:space="preserve"> среди работающих женщин почти</w:t>
      </w:r>
      <w:r>
        <w:t xml:space="preserve"> каждая третья</w:t>
      </w:r>
      <w:r w:rsidR="00EB6CCE">
        <w:t xml:space="preserve"> (33,4%)</w:t>
      </w:r>
      <w:r>
        <w:t xml:space="preserve"> имеет высшее образование, среди мужчин </w:t>
      </w:r>
      <w:r w:rsidR="00EB6CCE">
        <w:t>– почти каждый четвертый (24</w:t>
      </w:r>
      <w:r>
        <w:t>%</w:t>
      </w:r>
      <w:r w:rsidR="00EB6CCE">
        <w:t>)</w:t>
      </w:r>
      <w:r w:rsidR="001E5705">
        <w:t>.</w:t>
      </w:r>
      <w:r w:rsidR="00EB6CCE">
        <w:t xml:space="preserve"> </w:t>
      </w:r>
      <w:r>
        <w:t>Не имеют основного общего образования</w:t>
      </w:r>
      <w:r w:rsidR="00AC2621">
        <w:t xml:space="preserve">  </w:t>
      </w:r>
      <w:r w:rsidR="00EB6CCE">
        <w:t>0,2% женщин и  0,4%</w:t>
      </w:r>
      <w:r>
        <w:t xml:space="preserve"> мужчин. </w:t>
      </w:r>
    </w:p>
    <w:p w:rsidR="00EB6CCE" w:rsidRDefault="00EB6CCE" w:rsidP="00AC2621">
      <w:pPr>
        <w:pStyle w:val="af1"/>
        <w:spacing w:before="0" w:beforeAutospacing="0" w:after="0" w:afterAutospacing="0"/>
        <w:ind w:firstLine="709"/>
        <w:jc w:val="both"/>
      </w:pPr>
    </w:p>
    <w:p w:rsidR="00D025E1" w:rsidRDefault="00D025E1" w:rsidP="00AC2621">
      <w:pPr>
        <w:pStyle w:val="af1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t xml:space="preserve">Основная </w:t>
      </w:r>
      <w:proofErr w:type="gramStart"/>
      <w:r>
        <w:t>часть жителей  Владимирско</w:t>
      </w:r>
      <w:r w:rsidR="00EB6CCE">
        <w:t>й области работает по</w:t>
      </w:r>
      <w:proofErr w:type="gramEnd"/>
      <w:r w:rsidR="00EB6CCE">
        <w:t xml:space="preserve"> найму (почти 95% от всех занятых). Из них  около 85%</w:t>
      </w:r>
      <w:r>
        <w:t xml:space="preserve">  трудится на предприятиях, в организациях со статусом юридического лица, остальные - по найму у физических лиц, индивидуальных предпринимателей, в </w:t>
      </w:r>
      <w:r w:rsidR="00330623">
        <w:t>фермерских</w:t>
      </w:r>
      <w:r w:rsidR="00EB6CCE">
        <w:t xml:space="preserve"> хозяйств</w:t>
      </w:r>
      <w:r w:rsidR="00330623">
        <w:t>ах</w:t>
      </w:r>
      <w:r w:rsidR="00EB6CCE">
        <w:t>. И только 5,1%</w:t>
      </w:r>
      <w:r>
        <w:t xml:space="preserve"> всех занятых работают не по найму (работодатели, самостоятельно занятые, помогающ</w:t>
      </w:r>
      <w:r w:rsidR="00AC2621">
        <w:t>и</w:t>
      </w:r>
      <w:r>
        <w:t>е на семейном предприятии).</w:t>
      </w:r>
    </w:p>
    <w:p w:rsidR="00D025E1" w:rsidRDefault="00AC2621" w:rsidP="00D025E1">
      <w:pPr>
        <w:pStyle w:val="af1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D025E1" w:rsidRDefault="00AC2621" w:rsidP="00D025E1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Безработица в цифрах</w:t>
      </w:r>
    </w:p>
    <w:p w:rsidR="00AC2621" w:rsidRPr="00A67428" w:rsidRDefault="00AC2621" w:rsidP="00D025E1">
      <w:pPr>
        <w:pStyle w:val="af1"/>
        <w:spacing w:before="0" w:beforeAutospacing="0" w:after="0" w:afterAutospacing="0"/>
        <w:ind w:firstLine="709"/>
        <w:jc w:val="both"/>
        <w:rPr>
          <w:b/>
        </w:rPr>
      </w:pPr>
    </w:p>
    <w:p w:rsidR="0005140A" w:rsidRPr="0005140A" w:rsidRDefault="00D025E1" w:rsidP="0005140A">
      <w:pPr>
        <w:ind w:firstLine="709"/>
        <w:jc w:val="both"/>
        <w:rPr>
          <w:b/>
          <w:sz w:val="24"/>
          <w:szCs w:val="24"/>
        </w:rPr>
      </w:pPr>
      <w:r w:rsidRPr="0005140A">
        <w:rPr>
          <w:sz w:val="24"/>
          <w:szCs w:val="24"/>
        </w:rPr>
        <w:t>Остальная часть рабочей силы  -</w:t>
      </w:r>
      <w:r w:rsidR="00F36A1F" w:rsidRPr="0005140A">
        <w:rPr>
          <w:sz w:val="24"/>
          <w:szCs w:val="24"/>
        </w:rPr>
        <w:t xml:space="preserve"> </w:t>
      </w:r>
      <w:r w:rsidR="00F36A1F" w:rsidRPr="0005140A">
        <w:rPr>
          <w:b/>
          <w:sz w:val="24"/>
          <w:szCs w:val="24"/>
        </w:rPr>
        <w:t>35</w:t>
      </w:r>
      <w:r w:rsidR="00851BA4" w:rsidRPr="0005140A">
        <w:rPr>
          <w:b/>
          <w:sz w:val="24"/>
          <w:szCs w:val="24"/>
        </w:rPr>
        <w:t>,3</w:t>
      </w:r>
      <w:r w:rsidR="00F36A1F" w:rsidRPr="0005140A">
        <w:rPr>
          <w:b/>
          <w:sz w:val="24"/>
          <w:szCs w:val="24"/>
        </w:rPr>
        <w:t xml:space="preserve"> тыс</w:t>
      </w:r>
      <w:r w:rsidR="00F36A1F" w:rsidRPr="0005140A">
        <w:rPr>
          <w:sz w:val="24"/>
          <w:szCs w:val="24"/>
        </w:rPr>
        <w:t xml:space="preserve">. </w:t>
      </w:r>
      <w:r w:rsidR="00F36A1F" w:rsidRPr="0005140A">
        <w:rPr>
          <w:bCs/>
          <w:sz w:val="24"/>
          <w:szCs w:val="24"/>
        </w:rPr>
        <w:t>человек</w:t>
      </w:r>
      <w:r w:rsidRPr="0005140A">
        <w:rPr>
          <w:bCs/>
          <w:sz w:val="24"/>
          <w:szCs w:val="24"/>
        </w:rPr>
        <w:t xml:space="preserve"> </w:t>
      </w:r>
      <w:r w:rsidRPr="0005140A">
        <w:rPr>
          <w:sz w:val="24"/>
          <w:szCs w:val="24"/>
        </w:rPr>
        <w:t xml:space="preserve">в соответствии  с критериями Международной Организации Труда (МОТ), </w:t>
      </w:r>
      <w:r w:rsidR="00434C04" w:rsidRPr="0005140A">
        <w:rPr>
          <w:bCs/>
          <w:sz w:val="24"/>
          <w:szCs w:val="24"/>
        </w:rPr>
        <w:t>была отнесена</w:t>
      </w:r>
      <w:r w:rsidRPr="0005140A">
        <w:rPr>
          <w:bCs/>
          <w:sz w:val="24"/>
          <w:szCs w:val="24"/>
        </w:rPr>
        <w:t xml:space="preserve"> к</w:t>
      </w:r>
      <w:r w:rsidRPr="0005140A">
        <w:rPr>
          <w:sz w:val="24"/>
          <w:szCs w:val="24"/>
        </w:rPr>
        <w:t xml:space="preserve"> б</w:t>
      </w:r>
      <w:r w:rsidR="00F36A1F" w:rsidRPr="0005140A">
        <w:rPr>
          <w:bCs/>
          <w:sz w:val="24"/>
          <w:szCs w:val="24"/>
        </w:rPr>
        <w:t>езработны</w:t>
      </w:r>
      <w:r w:rsidRPr="0005140A">
        <w:rPr>
          <w:bCs/>
          <w:sz w:val="24"/>
          <w:szCs w:val="24"/>
        </w:rPr>
        <w:t>м</w:t>
      </w:r>
      <w:r w:rsidR="00F36A1F" w:rsidRPr="0005140A">
        <w:rPr>
          <w:sz w:val="24"/>
          <w:szCs w:val="24"/>
        </w:rPr>
        <w:t xml:space="preserve"> </w:t>
      </w:r>
      <w:r w:rsidR="00434C04" w:rsidRPr="0005140A">
        <w:rPr>
          <w:sz w:val="24"/>
          <w:szCs w:val="24"/>
        </w:rPr>
        <w:t>(н</w:t>
      </w:r>
      <w:r w:rsidR="00F36A1F" w:rsidRPr="0005140A">
        <w:rPr>
          <w:sz w:val="24"/>
          <w:szCs w:val="24"/>
        </w:rPr>
        <w:t>е име</w:t>
      </w:r>
      <w:r w:rsidR="00434C04" w:rsidRPr="0005140A">
        <w:rPr>
          <w:sz w:val="24"/>
          <w:szCs w:val="24"/>
        </w:rPr>
        <w:t>ющим</w:t>
      </w:r>
      <w:r w:rsidR="00F36A1F" w:rsidRPr="0005140A">
        <w:rPr>
          <w:sz w:val="24"/>
          <w:szCs w:val="24"/>
        </w:rPr>
        <w:t xml:space="preserve"> работы или доходного занятия, и</w:t>
      </w:r>
      <w:r w:rsidR="00434C04" w:rsidRPr="0005140A">
        <w:rPr>
          <w:sz w:val="24"/>
          <w:szCs w:val="24"/>
        </w:rPr>
        <w:t>щущим</w:t>
      </w:r>
      <w:r w:rsidR="00F36A1F" w:rsidRPr="0005140A">
        <w:rPr>
          <w:sz w:val="24"/>
          <w:szCs w:val="24"/>
        </w:rPr>
        <w:t xml:space="preserve"> работу и готовы</w:t>
      </w:r>
      <w:r w:rsidR="00434C04" w:rsidRPr="0005140A">
        <w:rPr>
          <w:sz w:val="24"/>
          <w:szCs w:val="24"/>
        </w:rPr>
        <w:t>м</w:t>
      </w:r>
      <w:r w:rsidR="00F36A1F" w:rsidRPr="0005140A">
        <w:rPr>
          <w:sz w:val="24"/>
          <w:szCs w:val="24"/>
        </w:rPr>
        <w:t xml:space="preserve"> приступить к ней в обследуемую неделю</w:t>
      </w:r>
      <w:r w:rsidRPr="0005140A">
        <w:rPr>
          <w:sz w:val="24"/>
          <w:szCs w:val="24"/>
        </w:rPr>
        <w:t>)</w:t>
      </w:r>
      <w:r w:rsidR="00F36A1F" w:rsidRPr="0005140A">
        <w:rPr>
          <w:sz w:val="24"/>
          <w:szCs w:val="24"/>
        </w:rPr>
        <w:t>.</w:t>
      </w:r>
      <w:r w:rsidRPr="0005140A">
        <w:rPr>
          <w:sz w:val="24"/>
          <w:szCs w:val="24"/>
        </w:rPr>
        <w:t xml:space="preserve"> Уровень безработицы, исчисленный как отношение численности безработных к </w:t>
      </w:r>
      <w:r w:rsidR="004B507B">
        <w:rPr>
          <w:sz w:val="24"/>
          <w:szCs w:val="24"/>
        </w:rPr>
        <w:t>численности рабочей силы, в 201</w:t>
      </w:r>
      <w:r w:rsidR="00330623">
        <w:rPr>
          <w:sz w:val="24"/>
          <w:szCs w:val="24"/>
        </w:rPr>
        <w:t>7</w:t>
      </w:r>
      <w:r w:rsidRPr="0005140A">
        <w:rPr>
          <w:sz w:val="24"/>
          <w:szCs w:val="24"/>
        </w:rPr>
        <w:t xml:space="preserve"> г. составил </w:t>
      </w:r>
      <w:r w:rsidRPr="0005140A">
        <w:rPr>
          <w:b/>
          <w:sz w:val="24"/>
          <w:szCs w:val="24"/>
        </w:rPr>
        <w:t>4,8%.</w:t>
      </w:r>
      <w:r w:rsidRPr="0005140A">
        <w:rPr>
          <w:sz w:val="24"/>
          <w:szCs w:val="24"/>
        </w:rPr>
        <w:t xml:space="preserve"> </w:t>
      </w:r>
      <w:r w:rsidR="00A67428" w:rsidRPr="0005140A">
        <w:rPr>
          <w:sz w:val="24"/>
          <w:szCs w:val="24"/>
        </w:rPr>
        <w:t xml:space="preserve"> Годом ранее безработных было больше на </w:t>
      </w:r>
      <w:r w:rsidR="00A67428" w:rsidRPr="0005140A">
        <w:rPr>
          <w:b/>
          <w:sz w:val="24"/>
          <w:szCs w:val="24"/>
        </w:rPr>
        <w:t>5,7 тыс</w:t>
      </w:r>
      <w:r w:rsidR="00A67428" w:rsidRPr="0005140A">
        <w:rPr>
          <w:sz w:val="24"/>
          <w:szCs w:val="24"/>
        </w:rPr>
        <w:t>. человек  (</w:t>
      </w:r>
      <w:r w:rsidR="00A67428" w:rsidRPr="0005140A">
        <w:rPr>
          <w:b/>
          <w:sz w:val="24"/>
          <w:szCs w:val="24"/>
        </w:rPr>
        <w:t xml:space="preserve">41 тыс. человек, 5,6%). </w:t>
      </w:r>
      <w:r w:rsidR="0005140A" w:rsidRPr="0005140A">
        <w:rPr>
          <w:sz w:val="24"/>
          <w:szCs w:val="24"/>
        </w:rPr>
        <w:t>Среди безработных, к сожалению</w:t>
      </w:r>
      <w:r w:rsidR="00330623">
        <w:rPr>
          <w:sz w:val="24"/>
          <w:szCs w:val="24"/>
        </w:rPr>
        <w:t>,</w:t>
      </w:r>
      <w:bookmarkStart w:id="0" w:name="_GoBack"/>
      <w:bookmarkEnd w:id="0"/>
      <w:r w:rsidR="0005140A" w:rsidRPr="0005140A">
        <w:rPr>
          <w:sz w:val="24"/>
          <w:szCs w:val="24"/>
        </w:rPr>
        <w:t xml:space="preserve"> много молодого на</w:t>
      </w:r>
      <w:r w:rsidR="007A55B3">
        <w:rPr>
          <w:sz w:val="24"/>
          <w:szCs w:val="24"/>
        </w:rPr>
        <w:t xml:space="preserve">селения от 20 до 39 лет.   </w:t>
      </w:r>
      <w:r w:rsidR="001E5705">
        <w:rPr>
          <w:sz w:val="24"/>
          <w:szCs w:val="24"/>
        </w:rPr>
        <w:t xml:space="preserve"> И в</w:t>
      </w:r>
      <w:r w:rsidR="007A55B3">
        <w:rPr>
          <w:sz w:val="24"/>
          <w:szCs w:val="24"/>
        </w:rPr>
        <w:t xml:space="preserve">  2016</w:t>
      </w:r>
      <w:r w:rsidR="001E5705">
        <w:rPr>
          <w:sz w:val="24"/>
          <w:szCs w:val="24"/>
        </w:rPr>
        <w:t>,</w:t>
      </w:r>
      <w:r w:rsidR="007A55B3">
        <w:rPr>
          <w:sz w:val="24"/>
          <w:szCs w:val="24"/>
        </w:rPr>
        <w:t xml:space="preserve"> и в 2017гг.</w:t>
      </w:r>
      <w:r w:rsidR="0005140A" w:rsidRPr="0005140A">
        <w:rPr>
          <w:sz w:val="24"/>
          <w:szCs w:val="24"/>
        </w:rPr>
        <w:t xml:space="preserve">  их</w:t>
      </w:r>
      <w:r w:rsidR="007A55B3">
        <w:rPr>
          <w:sz w:val="24"/>
          <w:szCs w:val="24"/>
        </w:rPr>
        <w:t xml:space="preserve"> численность  была</w:t>
      </w:r>
      <w:r w:rsidR="001E5705">
        <w:rPr>
          <w:sz w:val="24"/>
          <w:szCs w:val="24"/>
        </w:rPr>
        <w:t xml:space="preserve">  </w:t>
      </w:r>
      <w:r w:rsidR="007A55B3">
        <w:rPr>
          <w:sz w:val="24"/>
          <w:szCs w:val="24"/>
        </w:rPr>
        <w:t>на уровне 20 тыс.</w:t>
      </w:r>
      <w:r w:rsidR="00A9761A">
        <w:rPr>
          <w:sz w:val="24"/>
          <w:szCs w:val="24"/>
        </w:rPr>
        <w:t xml:space="preserve"> человек.</w:t>
      </w:r>
      <w:r w:rsidR="0005140A" w:rsidRPr="0005140A">
        <w:rPr>
          <w:sz w:val="24"/>
          <w:szCs w:val="24"/>
        </w:rPr>
        <w:t xml:space="preserve">  </w:t>
      </w:r>
    </w:p>
    <w:p w:rsidR="0005140A" w:rsidRPr="0005140A" w:rsidRDefault="0005140A" w:rsidP="0005140A">
      <w:pPr>
        <w:ind w:firstLine="709"/>
        <w:jc w:val="both"/>
        <w:rPr>
          <w:sz w:val="24"/>
          <w:szCs w:val="24"/>
        </w:rPr>
      </w:pPr>
      <w:r w:rsidRPr="0005140A">
        <w:rPr>
          <w:sz w:val="24"/>
          <w:szCs w:val="24"/>
        </w:rPr>
        <w:t>Средний возраст бе</w:t>
      </w:r>
      <w:r w:rsidR="007A55B3">
        <w:rPr>
          <w:sz w:val="24"/>
          <w:szCs w:val="24"/>
        </w:rPr>
        <w:t xml:space="preserve">зработного </w:t>
      </w:r>
      <w:r w:rsidR="004B507B">
        <w:rPr>
          <w:sz w:val="24"/>
          <w:szCs w:val="24"/>
        </w:rPr>
        <w:t>в 2017</w:t>
      </w:r>
      <w:r w:rsidR="007A55B3">
        <w:rPr>
          <w:sz w:val="24"/>
          <w:szCs w:val="24"/>
        </w:rPr>
        <w:t>г</w:t>
      </w:r>
      <w:r w:rsidR="004B507B">
        <w:rPr>
          <w:sz w:val="24"/>
          <w:szCs w:val="24"/>
        </w:rPr>
        <w:t>.</w:t>
      </w:r>
      <w:r w:rsidR="007A55B3">
        <w:rPr>
          <w:sz w:val="24"/>
          <w:szCs w:val="24"/>
        </w:rPr>
        <w:t xml:space="preserve"> составил 38 лет</w:t>
      </w:r>
      <w:r w:rsidR="001E5705">
        <w:rPr>
          <w:sz w:val="24"/>
          <w:szCs w:val="24"/>
        </w:rPr>
        <w:t xml:space="preserve"> (в 2016г. </w:t>
      </w:r>
      <w:r w:rsidRPr="0005140A">
        <w:rPr>
          <w:sz w:val="24"/>
          <w:szCs w:val="24"/>
        </w:rPr>
        <w:t>- 37 лет).</w:t>
      </w:r>
    </w:p>
    <w:p w:rsidR="0005140A" w:rsidRDefault="0005140A" w:rsidP="0005140A">
      <w:pPr>
        <w:pStyle w:val="af1"/>
        <w:ind w:firstLine="709"/>
        <w:jc w:val="both"/>
      </w:pPr>
    </w:p>
    <w:p w:rsidR="00D025E1" w:rsidRPr="00A67428" w:rsidRDefault="00D025E1" w:rsidP="00D025E1">
      <w:pPr>
        <w:pStyle w:val="af1"/>
        <w:spacing w:before="0" w:beforeAutospacing="0" w:after="0" w:afterAutospacing="0"/>
        <w:ind w:firstLine="709"/>
        <w:jc w:val="both"/>
      </w:pPr>
    </w:p>
    <w:p w:rsidR="007167EF" w:rsidRDefault="007167EF" w:rsidP="007167EF">
      <w:pPr>
        <w:pStyle w:val="af1"/>
        <w:spacing w:before="0" w:beforeAutospacing="0"/>
        <w:ind w:hanging="284"/>
        <w:jc w:val="both"/>
      </w:pPr>
      <w:r>
        <w:rPr>
          <w:noProof/>
        </w:rPr>
        <w:drawing>
          <wp:inline distT="0" distB="0" distL="0" distR="0">
            <wp:extent cx="5751195" cy="3978275"/>
            <wp:effectExtent l="0" t="0" r="20955" b="222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DA4" w:rsidRDefault="00127DA4" w:rsidP="007167EF">
      <w:pPr>
        <w:jc w:val="center"/>
        <w:rPr>
          <w:b/>
          <w:noProof/>
        </w:rPr>
      </w:pPr>
    </w:p>
    <w:p w:rsidR="00127DA4" w:rsidRDefault="00127DA4" w:rsidP="007167EF">
      <w:pPr>
        <w:jc w:val="center"/>
        <w:rPr>
          <w:b/>
          <w:noProof/>
        </w:rPr>
      </w:pPr>
    </w:p>
    <w:p w:rsidR="00D025E1" w:rsidRDefault="00D025E1" w:rsidP="007167EF">
      <w:pPr>
        <w:jc w:val="center"/>
        <w:rPr>
          <w:b/>
          <w:noProof/>
        </w:rPr>
      </w:pPr>
    </w:p>
    <w:p w:rsidR="007167EF" w:rsidRDefault="007167EF" w:rsidP="007167EF">
      <w:pPr>
        <w:jc w:val="center"/>
        <w:rPr>
          <w:b/>
          <w:noProof/>
        </w:rPr>
      </w:pPr>
      <w:r>
        <w:rPr>
          <w:b/>
          <w:noProof/>
        </w:rPr>
        <w:t>Рис. 2 Уровень безработицы по методологии МОТ</w:t>
      </w:r>
    </w:p>
    <w:p w:rsidR="007167EF" w:rsidRDefault="007167EF" w:rsidP="007167EF">
      <w:pPr>
        <w:jc w:val="center"/>
        <w:rPr>
          <w:b/>
          <w:sz w:val="22"/>
          <w:szCs w:val="22"/>
        </w:rPr>
      </w:pPr>
      <w:r>
        <w:rPr>
          <w:b/>
          <w:noProof/>
        </w:rPr>
        <w:t xml:space="preserve"> (в % к численности рабочей силы)</w:t>
      </w:r>
    </w:p>
    <w:p w:rsidR="007167EF" w:rsidRDefault="007167EF" w:rsidP="007167EF">
      <w:pPr>
        <w:ind w:firstLine="709"/>
        <w:rPr>
          <w:sz w:val="22"/>
          <w:szCs w:val="22"/>
        </w:rPr>
      </w:pPr>
    </w:p>
    <w:p w:rsidR="007167EF" w:rsidRDefault="007167EF" w:rsidP="007167EF">
      <w:pPr>
        <w:ind w:firstLine="709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4567555" cy="2738755"/>
            <wp:effectExtent l="0" t="0" r="23495" b="2349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67EF" w:rsidRDefault="007167EF" w:rsidP="007167EF">
      <w:pPr>
        <w:ind w:firstLine="709"/>
        <w:rPr>
          <w:sz w:val="22"/>
          <w:szCs w:val="22"/>
        </w:rPr>
      </w:pPr>
    </w:p>
    <w:p w:rsidR="007167EF" w:rsidRDefault="007167EF" w:rsidP="007167EF">
      <w:pPr>
        <w:ind w:firstLine="709"/>
        <w:rPr>
          <w:sz w:val="22"/>
          <w:szCs w:val="22"/>
        </w:rPr>
      </w:pPr>
    </w:p>
    <w:p w:rsidR="007167EF" w:rsidRDefault="007167EF" w:rsidP="007167EF">
      <w:pPr>
        <w:ind w:firstLine="709"/>
        <w:rPr>
          <w:sz w:val="22"/>
          <w:szCs w:val="22"/>
        </w:rPr>
      </w:pPr>
    </w:p>
    <w:p w:rsidR="0005140A" w:rsidRDefault="0005140A" w:rsidP="007167EF">
      <w:pPr>
        <w:ind w:firstLine="709"/>
        <w:rPr>
          <w:sz w:val="22"/>
          <w:szCs w:val="22"/>
        </w:rPr>
      </w:pPr>
    </w:p>
    <w:p w:rsidR="0005140A" w:rsidRDefault="0005140A" w:rsidP="007167EF">
      <w:pPr>
        <w:ind w:firstLine="709"/>
        <w:rPr>
          <w:sz w:val="22"/>
          <w:szCs w:val="22"/>
        </w:rPr>
      </w:pPr>
    </w:p>
    <w:p w:rsidR="0005140A" w:rsidRDefault="0005140A" w:rsidP="007167EF">
      <w:pPr>
        <w:ind w:firstLine="709"/>
        <w:rPr>
          <w:sz w:val="22"/>
          <w:szCs w:val="22"/>
        </w:rPr>
      </w:pPr>
    </w:p>
    <w:p w:rsidR="007167EF" w:rsidRPr="00EB6CCE" w:rsidRDefault="007167EF" w:rsidP="007167EF">
      <w:pPr>
        <w:pStyle w:val="af1"/>
        <w:spacing w:after="0" w:afterAutospacing="0"/>
        <w:jc w:val="right"/>
        <w:rPr>
          <w:bCs/>
          <w:sz w:val="18"/>
          <w:szCs w:val="18"/>
        </w:rPr>
      </w:pPr>
      <w:r>
        <w:rPr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bCs/>
          <w:sz w:val="18"/>
          <w:szCs w:val="18"/>
        </w:rPr>
        <w:t>Таблица 1</w:t>
      </w:r>
    </w:p>
    <w:p w:rsidR="00AC2621" w:rsidRDefault="00AC2621" w:rsidP="007167EF">
      <w:pPr>
        <w:pStyle w:val="af1"/>
        <w:spacing w:before="0" w:beforeAutospacing="0" w:after="240" w:afterAutospacing="0"/>
        <w:jc w:val="center"/>
        <w:rPr>
          <w:b/>
          <w:bCs/>
          <w:sz w:val="22"/>
          <w:szCs w:val="22"/>
        </w:rPr>
      </w:pPr>
    </w:p>
    <w:p w:rsidR="007167EF" w:rsidRDefault="007167EF" w:rsidP="007167EF">
      <w:pPr>
        <w:pStyle w:val="af1"/>
        <w:spacing w:before="0" w:beforeAutospacing="0" w:after="24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Численность и состав рабочей силы</w:t>
      </w:r>
    </w:p>
    <w:tbl>
      <w:tblPr>
        <w:tblW w:w="5302" w:type="pct"/>
        <w:jc w:val="center"/>
        <w:tblCellSpacing w:w="7" w:type="dxa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1"/>
        <w:gridCol w:w="1021"/>
        <w:gridCol w:w="1021"/>
        <w:gridCol w:w="1019"/>
        <w:gridCol w:w="1019"/>
        <w:gridCol w:w="924"/>
      </w:tblGrid>
      <w:tr w:rsidR="007167EF" w:rsidTr="007167EF">
        <w:trPr>
          <w:trHeight w:val="284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99CCFF"/>
            <w:vAlign w:val="center"/>
          </w:tcPr>
          <w:p w:rsidR="007167EF" w:rsidRDefault="007167EF">
            <w:pPr>
              <w:jc w:val="center"/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99CCFF"/>
            <w:hideMark/>
          </w:tcPr>
          <w:p w:rsidR="007167EF" w:rsidRDefault="007167EF">
            <w:pPr>
              <w:jc w:val="center"/>
              <w:rPr>
                <w:i/>
              </w:rPr>
            </w:pPr>
            <w:r>
              <w:rPr>
                <w:i/>
              </w:rPr>
              <w:t>2013г.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99CCFF"/>
            <w:hideMark/>
          </w:tcPr>
          <w:p w:rsidR="007167EF" w:rsidRDefault="007167EF">
            <w:pPr>
              <w:jc w:val="center"/>
              <w:rPr>
                <w:i/>
              </w:rPr>
            </w:pPr>
            <w:r>
              <w:rPr>
                <w:i/>
              </w:rPr>
              <w:t>2014г.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99CCFF"/>
            <w:hideMark/>
          </w:tcPr>
          <w:p w:rsidR="007167EF" w:rsidRDefault="007167EF">
            <w:pPr>
              <w:jc w:val="center"/>
              <w:rPr>
                <w:i/>
              </w:rPr>
            </w:pPr>
            <w:r>
              <w:rPr>
                <w:i/>
              </w:rPr>
              <w:t>2015г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99CCFF"/>
            <w:hideMark/>
          </w:tcPr>
          <w:p w:rsidR="007167EF" w:rsidRDefault="007167EF">
            <w:pPr>
              <w:jc w:val="center"/>
              <w:rPr>
                <w:i/>
              </w:rPr>
            </w:pPr>
            <w:r>
              <w:rPr>
                <w:i/>
              </w:rPr>
              <w:t>2016г.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99CCFF"/>
            <w:hideMark/>
          </w:tcPr>
          <w:p w:rsidR="007167EF" w:rsidRDefault="007167EF">
            <w:pPr>
              <w:jc w:val="center"/>
              <w:rPr>
                <w:i/>
              </w:rPr>
            </w:pPr>
            <w:r>
              <w:rPr>
                <w:i/>
              </w:rPr>
              <w:t>2017г.</w:t>
            </w:r>
          </w:p>
        </w:tc>
      </w:tr>
      <w:tr w:rsidR="007167EF" w:rsidTr="007167EF">
        <w:trPr>
          <w:trHeight w:val="326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Тыс. человек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7167EF" w:rsidTr="007167EF">
        <w:trPr>
          <w:cantSplit/>
          <w:trHeight w:val="284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ind w:firstLine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сила в возрасте 15-72 лет 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758,5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736,7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</w:t>
            </w:r>
          </w:p>
        </w:tc>
      </w:tr>
      <w:tr w:rsidR="007167EF" w:rsidTr="007167EF">
        <w:trPr>
          <w:cantSplit/>
          <w:trHeight w:val="284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ind w:firstLine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Занятые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740,9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725,6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717,7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695,7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694,9</w:t>
            </w:r>
          </w:p>
        </w:tc>
      </w:tr>
      <w:tr w:rsidR="007167EF" w:rsidTr="007167EF">
        <w:trPr>
          <w:cantSplit/>
          <w:trHeight w:val="202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ind w:firstLine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7167EF" w:rsidTr="007167EF">
        <w:trPr>
          <w:trHeight w:val="222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7EF" w:rsidRDefault="007167EF">
            <w:pPr>
              <w:pStyle w:val="af1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 процентах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ind w:left="75" w:firstLine="7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участия в рабочей силе </w:t>
            </w:r>
          </w:p>
          <w:p w:rsidR="007167EF" w:rsidRDefault="007167EF">
            <w:pPr>
              <w:pStyle w:val="af1"/>
              <w:spacing w:before="0" w:beforeAutospacing="0" w:after="0" w:afterAutospacing="0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(рабочая сила к численности  населения в возрасте 15-72 лет)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ind w:left="75" w:right="-174" w:firstLine="7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занятости</w:t>
            </w:r>
          </w:p>
          <w:p w:rsidR="007167EF" w:rsidRDefault="007167EF">
            <w:pPr>
              <w:pStyle w:val="af1"/>
              <w:spacing w:before="0" w:beforeAutospacing="0" w:after="0" w:afterAutospacing="0"/>
              <w:ind w:left="75" w:right="-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(занятые к численности населения  в возрасте 15-72 лет)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ind w:left="75" w:right="-174" w:firstLine="70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безработицы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(безработные к численности рабочей силы)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</w:tbl>
    <w:p w:rsidR="007167EF" w:rsidRDefault="007167EF" w:rsidP="007167EF">
      <w:pPr>
        <w:jc w:val="center"/>
        <w:rPr>
          <w:sz w:val="14"/>
          <w:szCs w:val="14"/>
        </w:rPr>
      </w:pPr>
    </w:p>
    <w:p w:rsidR="00AC2621" w:rsidRDefault="00AC2621" w:rsidP="00A30CD1">
      <w:pPr>
        <w:pStyle w:val="af1"/>
        <w:spacing w:before="0" w:beforeAutospacing="0"/>
        <w:ind w:firstLine="709"/>
        <w:jc w:val="both"/>
        <w:rPr>
          <w:b/>
          <w:sz w:val="22"/>
          <w:szCs w:val="22"/>
        </w:rPr>
      </w:pPr>
    </w:p>
    <w:p w:rsidR="00AC2621" w:rsidRDefault="00AC2621" w:rsidP="00A30CD1">
      <w:pPr>
        <w:pStyle w:val="af1"/>
        <w:spacing w:before="0" w:beforeAutospacing="0"/>
        <w:ind w:firstLine="709"/>
        <w:jc w:val="both"/>
        <w:rPr>
          <w:b/>
          <w:sz w:val="22"/>
          <w:szCs w:val="22"/>
        </w:rPr>
      </w:pPr>
    </w:p>
    <w:p w:rsidR="001E5705" w:rsidRDefault="007167EF" w:rsidP="00A30CD1">
      <w:pPr>
        <w:pStyle w:val="af1"/>
        <w:spacing w:before="0" w:beforeAutospacing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Безработица по полу и месту проживания</w:t>
      </w:r>
      <w:r>
        <w:rPr>
          <w:sz w:val="22"/>
          <w:szCs w:val="22"/>
        </w:rPr>
        <w:t>. Среди безработных доля женщин в  2017г. составила  около 4</w:t>
      </w:r>
      <w:r w:rsidR="00F36A1F">
        <w:rPr>
          <w:sz w:val="22"/>
          <w:szCs w:val="22"/>
        </w:rPr>
        <w:t>8%, большая часть безработных (</w:t>
      </w:r>
      <w:r>
        <w:rPr>
          <w:sz w:val="22"/>
          <w:szCs w:val="22"/>
        </w:rPr>
        <w:t xml:space="preserve">свыше 70%) - городские жители. </w:t>
      </w:r>
    </w:p>
    <w:p w:rsidR="007167EF" w:rsidRDefault="007167EF" w:rsidP="00A30CD1">
      <w:pPr>
        <w:pStyle w:val="af1"/>
        <w:spacing w:before="0" w:beforeAutospacing="0"/>
        <w:ind w:firstLine="709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Таблица 2</w:t>
      </w:r>
    </w:p>
    <w:p w:rsidR="007167EF" w:rsidRDefault="007167EF" w:rsidP="007167EF">
      <w:pPr>
        <w:pStyle w:val="af1"/>
        <w:spacing w:before="0" w:beforeAutospacing="0" w:after="0" w:afterAutospacing="0"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безработицы по полу и месту проживания </w:t>
      </w:r>
    </w:p>
    <w:p w:rsidR="007167EF" w:rsidRDefault="007167EF" w:rsidP="007167EF">
      <w:pPr>
        <w:pStyle w:val="af1"/>
        <w:spacing w:before="0" w:beforeAutospacing="0" w:after="0" w:afterAutospacing="0" w:line="240" w:lineRule="atLeast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(в процентах от рабочей силы)</w:t>
      </w:r>
    </w:p>
    <w:tbl>
      <w:tblPr>
        <w:tblW w:w="8790" w:type="dxa"/>
        <w:tblCellSpacing w:w="7" w:type="dxa"/>
        <w:tblInd w:w="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1389"/>
        <w:gridCol w:w="1305"/>
        <w:gridCol w:w="1275"/>
        <w:gridCol w:w="1418"/>
        <w:gridCol w:w="1417"/>
      </w:tblGrid>
      <w:tr w:rsidR="007167EF" w:rsidTr="007167EF">
        <w:trPr>
          <w:tblCellSpacing w:w="7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9CCFF"/>
            <w:hideMark/>
          </w:tcPr>
          <w:p w:rsidR="007167EF" w:rsidRDefault="007167EF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9CCFF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Всего    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9CCFF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Мужчины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9CCFF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Женщины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9CCFF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Городское население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9CCFF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Сельское население</w:t>
            </w:r>
          </w:p>
        </w:tc>
      </w:tr>
      <w:tr w:rsidR="007167EF" w:rsidTr="007167EF">
        <w:trPr>
          <w:trHeight w:val="284"/>
          <w:tblCellSpacing w:w="7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jc w:val="center"/>
            </w:pPr>
            <w:r>
              <w:t>2013г.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3,8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3,9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3,6</w:t>
            </w:r>
          </w:p>
        </w:tc>
      </w:tr>
      <w:tr w:rsidR="007167EF" w:rsidTr="007167EF">
        <w:trPr>
          <w:trHeight w:val="284"/>
          <w:tblCellSpacing w:w="7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jc w:val="center"/>
            </w:pPr>
            <w:r>
              <w:t>2014г.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4,3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5,5</w:t>
            </w:r>
          </w:p>
        </w:tc>
      </w:tr>
      <w:tr w:rsidR="007167EF" w:rsidTr="007167EF">
        <w:trPr>
          <w:trHeight w:val="284"/>
          <w:tblCellSpacing w:w="7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jc w:val="center"/>
            </w:pPr>
            <w:r>
              <w:t>2015г.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5,6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6,1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6,2</w:t>
            </w:r>
          </w:p>
        </w:tc>
      </w:tr>
      <w:tr w:rsidR="007167EF" w:rsidTr="007167EF">
        <w:trPr>
          <w:trHeight w:val="284"/>
          <w:tblCellSpacing w:w="7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jc w:val="center"/>
            </w:pPr>
            <w:r>
              <w:t>2016г.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5,6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6,7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5,1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7,4</w:t>
            </w:r>
          </w:p>
        </w:tc>
      </w:tr>
      <w:tr w:rsidR="007167EF" w:rsidTr="007167EF">
        <w:trPr>
          <w:trHeight w:val="284"/>
          <w:tblCellSpacing w:w="7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jc w:val="center"/>
            </w:pPr>
            <w:r>
              <w:t>2017г.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4,8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4,7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4,3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167EF" w:rsidRDefault="007167EF">
            <w:pPr>
              <w:pStyle w:val="af1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6,8</w:t>
            </w:r>
          </w:p>
        </w:tc>
      </w:tr>
    </w:tbl>
    <w:p w:rsidR="007167EF" w:rsidRDefault="007167EF" w:rsidP="007167EF">
      <w:pPr>
        <w:pStyle w:val="af1"/>
        <w:spacing w:before="0" w:beforeAutospacing="0" w:after="0" w:afterAutospacing="0" w:line="240" w:lineRule="atLeast"/>
        <w:jc w:val="center"/>
        <w:rPr>
          <w:bCs/>
          <w:i/>
          <w:sz w:val="6"/>
          <w:szCs w:val="6"/>
        </w:rPr>
      </w:pPr>
    </w:p>
    <w:p w:rsidR="007167EF" w:rsidRDefault="007167EF" w:rsidP="007167EF">
      <w:pPr>
        <w:pStyle w:val="af1"/>
        <w:spacing w:before="0" w:beforeAutospacing="0" w:line="20" w:lineRule="atLeast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Продолжительность поиска работы. </w:t>
      </w:r>
      <w:r>
        <w:rPr>
          <w:bCs/>
          <w:sz w:val="22"/>
          <w:szCs w:val="22"/>
        </w:rPr>
        <w:t xml:space="preserve">Среди безработных 32% составляют лица, срок пребывания которых в состоянии поиска работы (безработицы) не превышает 3-х месяцев. Один год и более ищут работу немногим более 22% безработных (застойная безработица). Среднее время поиска работы  </w:t>
      </w:r>
      <w:r w:rsidR="00447A49">
        <w:rPr>
          <w:bCs/>
          <w:sz w:val="22"/>
          <w:szCs w:val="22"/>
        </w:rPr>
        <w:t xml:space="preserve">в </w:t>
      </w:r>
      <w:r>
        <w:rPr>
          <w:bCs/>
          <w:sz w:val="22"/>
          <w:szCs w:val="22"/>
        </w:rPr>
        <w:t xml:space="preserve"> </w:t>
      </w:r>
      <w:r w:rsidR="00447A49">
        <w:rPr>
          <w:bCs/>
          <w:sz w:val="22"/>
          <w:szCs w:val="22"/>
        </w:rPr>
        <w:t xml:space="preserve"> 2017г. составило 6,9</w:t>
      </w:r>
      <w:r>
        <w:rPr>
          <w:bCs/>
          <w:sz w:val="22"/>
          <w:szCs w:val="22"/>
        </w:rPr>
        <w:t xml:space="preserve"> месяц</w:t>
      </w:r>
      <w:r w:rsidR="00447A49">
        <w:rPr>
          <w:bCs/>
          <w:sz w:val="22"/>
          <w:szCs w:val="22"/>
        </w:rPr>
        <w:t>а.</w:t>
      </w:r>
    </w:p>
    <w:p w:rsidR="007167EF" w:rsidRDefault="007167EF" w:rsidP="007167EF">
      <w:pPr>
        <w:pStyle w:val="af1"/>
        <w:spacing w:line="20" w:lineRule="atLeast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Способы поиска работы. </w:t>
      </w:r>
      <w:r>
        <w:rPr>
          <w:sz w:val="22"/>
          <w:szCs w:val="22"/>
        </w:rPr>
        <w:t>Как показывают материалы обследований рабочей силы, более 70% безработных ищут работу самостоятельно без содействия служб занятости. Наиболее предпочтительным является обращение при поиске работы к помощи друзей, родственников и знакомых - его использует 80% безработных.</w:t>
      </w:r>
    </w:p>
    <w:p w:rsidR="007167EF" w:rsidRDefault="007167EF" w:rsidP="007167EF">
      <w:pPr>
        <w:pStyle w:val="af1"/>
        <w:spacing w:line="20" w:lineRule="atLeast"/>
        <w:ind w:firstLine="709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Наличие опыта работы.</w:t>
      </w:r>
      <w:r>
        <w:rPr>
          <w:sz w:val="22"/>
          <w:szCs w:val="22"/>
        </w:rPr>
        <w:t xml:space="preserve"> В численности безработных 12% составляют лица, не имеющие опыта трудовой деятельности. Среди безработных 14% оставили прежнее место работы в связи с высвобождением или сокращением численности работников, ликвидацией предприятия, оставили прежнее место работы в связи с увольнением по собственному желанию  свыше 33% безработных.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7167EF" w:rsidRDefault="007167EF" w:rsidP="00A30CD1">
      <w:pPr>
        <w:pStyle w:val="af1"/>
        <w:spacing w:line="20" w:lineRule="atLeast"/>
        <w:ind w:firstLine="709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</w:t>
      </w:r>
      <w:r>
        <w:rPr>
          <w:sz w:val="18"/>
          <w:szCs w:val="18"/>
        </w:rPr>
        <w:t>Таблица 3</w:t>
      </w:r>
    </w:p>
    <w:p w:rsidR="007167EF" w:rsidRDefault="007167EF" w:rsidP="007167EF">
      <w:pPr>
        <w:pStyle w:val="af1"/>
        <w:spacing w:before="0" w:beforeAutospacing="0" w:after="0" w:afterAutospacing="0" w:line="140" w:lineRule="atLeast"/>
        <w:jc w:val="center"/>
        <w:rPr>
          <w:i/>
          <w:sz w:val="15"/>
          <w:szCs w:val="15"/>
        </w:rPr>
      </w:pPr>
      <w:r>
        <w:rPr>
          <w:b/>
          <w:bCs/>
          <w:sz w:val="22"/>
          <w:szCs w:val="22"/>
        </w:rPr>
        <w:t xml:space="preserve">Структура безработных по наличию опыта работы </w:t>
      </w:r>
      <w:r>
        <w:rPr>
          <w:b/>
          <w:bCs/>
          <w:sz w:val="22"/>
          <w:szCs w:val="22"/>
        </w:rPr>
        <w:br/>
        <w:t>и обстоятельствам незанятости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br/>
      </w:r>
      <w:r>
        <w:rPr>
          <w:bCs/>
          <w:i/>
          <w:sz w:val="15"/>
          <w:szCs w:val="15"/>
        </w:rPr>
        <w:t>(</w:t>
      </w:r>
      <w:r>
        <w:rPr>
          <w:i/>
          <w:sz w:val="15"/>
          <w:szCs w:val="15"/>
        </w:rPr>
        <w:t>в процентах)</w:t>
      </w:r>
      <w:r>
        <w:rPr>
          <w:bCs/>
          <w:sz w:val="15"/>
          <w:szCs w:val="15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1298"/>
        <w:gridCol w:w="1145"/>
        <w:gridCol w:w="1937"/>
        <w:gridCol w:w="1733"/>
        <w:gridCol w:w="1556"/>
      </w:tblGrid>
      <w:tr w:rsidR="007167EF" w:rsidTr="007167EF">
        <w:trPr>
          <w:trHeight w:val="284"/>
          <w:tblCellSpacing w:w="7" w:type="dxa"/>
          <w:jc w:val="center"/>
        </w:trPr>
        <w:tc>
          <w:tcPr>
            <w:tcW w:w="157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:rsidR="007167EF" w:rsidRDefault="007167EF">
            <w:pPr>
              <w:pStyle w:val="af1"/>
              <w:jc w:val="center"/>
            </w:pPr>
            <w:r>
              <w:rPr>
                <w:sz w:val="15"/>
                <w:szCs w:val="15"/>
              </w:rPr>
              <w:t>  </w:t>
            </w:r>
          </w:p>
        </w:tc>
        <w:tc>
          <w:tcPr>
            <w:tcW w:w="1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:rsidR="007167EF" w:rsidRDefault="007167EF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Безработные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7EF" w:rsidRDefault="007167EF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Имеют</w:t>
            </w:r>
            <w:r>
              <w:rPr>
                <w:i/>
                <w:iCs/>
                <w:sz w:val="18"/>
                <w:szCs w:val="18"/>
              </w:rPr>
              <w:br/>
              <w:t>опыт</w:t>
            </w:r>
            <w:r>
              <w:rPr>
                <w:i/>
                <w:iCs/>
                <w:sz w:val="18"/>
                <w:szCs w:val="18"/>
              </w:rPr>
              <w:br/>
              <w:t>работы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7EF" w:rsidRDefault="007167EF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Из них оставили</w:t>
            </w:r>
            <w:r>
              <w:rPr>
                <w:i/>
                <w:iCs/>
                <w:sz w:val="18"/>
                <w:szCs w:val="18"/>
              </w:rPr>
              <w:br/>
              <w:t xml:space="preserve">прежнее место работы в связи </w:t>
            </w:r>
            <w:proofErr w:type="gramStart"/>
            <w:r>
              <w:rPr>
                <w:i/>
                <w:iCs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7EF" w:rsidRDefault="007167EF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Не имеют опыта </w:t>
            </w:r>
            <w:r>
              <w:rPr>
                <w:i/>
                <w:iCs/>
                <w:sz w:val="18"/>
                <w:szCs w:val="18"/>
              </w:rPr>
              <w:br/>
              <w:t>работы</w:t>
            </w:r>
            <w:r>
              <w:rPr>
                <w:sz w:val="18"/>
                <w:szCs w:val="18"/>
              </w:rPr>
              <w:t> </w:t>
            </w: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7EF" w:rsidRDefault="007167EF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высвобождением, сокращением штатов, ликвидацией организации, собственного дела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7EF" w:rsidRDefault="007167EF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увольнением по собственному желанию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167EF" w:rsidRDefault="007167EF">
            <w:pPr>
              <w:rPr>
                <w:sz w:val="18"/>
                <w:szCs w:val="18"/>
              </w:rPr>
            </w:pP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1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2013г.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1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2014г.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jc w:val="center"/>
            </w:pPr>
            <w:r>
              <w:t>80,2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1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2015г.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1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2016г.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7167EF" w:rsidTr="007167EF">
        <w:trPr>
          <w:trHeight w:val="284"/>
          <w:tblCellSpacing w:w="7" w:type="dxa"/>
          <w:jc w:val="center"/>
        </w:trPr>
        <w:tc>
          <w:tcPr>
            <w:tcW w:w="1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2017г.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EF" w:rsidRDefault="007167EF">
            <w:pPr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EF" w:rsidRDefault="007167E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</w:tbl>
    <w:p w:rsidR="007167EF" w:rsidRDefault="007167EF" w:rsidP="007167EF">
      <w:pPr>
        <w:rPr>
          <w:sz w:val="24"/>
          <w:szCs w:val="24"/>
        </w:rPr>
      </w:pPr>
    </w:p>
    <w:p w:rsidR="007167EF" w:rsidRDefault="007167EF" w:rsidP="007167EF">
      <w:pPr>
        <w:jc w:val="both"/>
      </w:pPr>
      <w:r>
        <w:t xml:space="preserve">         </w:t>
      </w:r>
    </w:p>
    <w:p w:rsidR="007167EF" w:rsidRDefault="007167EF" w:rsidP="007167EF">
      <w:pPr>
        <w:jc w:val="both"/>
      </w:pPr>
    </w:p>
    <w:p w:rsidR="007167EF" w:rsidRDefault="007167EF" w:rsidP="007167EF">
      <w:pPr>
        <w:jc w:val="both"/>
      </w:pPr>
    </w:p>
    <w:p w:rsidR="007167EF" w:rsidRDefault="007167EF" w:rsidP="007167EF">
      <w:pPr>
        <w:jc w:val="both"/>
      </w:pPr>
    </w:p>
    <w:p w:rsidR="00AC2621" w:rsidRDefault="00AC2621" w:rsidP="007167EF">
      <w:pPr>
        <w:jc w:val="both"/>
      </w:pPr>
    </w:p>
    <w:p w:rsidR="00AC2621" w:rsidRDefault="00AC2621" w:rsidP="007167EF">
      <w:pPr>
        <w:jc w:val="both"/>
      </w:pPr>
    </w:p>
    <w:p w:rsidR="00AC2621" w:rsidRDefault="00AC2621" w:rsidP="007167EF">
      <w:pPr>
        <w:jc w:val="both"/>
      </w:pPr>
    </w:p>
    <w:p w:rsidR="007167EF" w:rsidRDefault="007167EF" w:rsidP="007167EF">
      <w:pPr>
        <w:jc w:val="both"/>
      </w:pPr>
    </w:p>
    <w:p w:rsidR="007167EF" w:rsidRDefault="007167EF" w:rsidP="007167EF">
      <w:pPr>
        <w:jc w:val="both"/>
      </w:pPr>
    </w:p>
    <w:p w:rsidR="00CA050A" w:rsidRPr="00771F34" w:rsidRDefault="00CA050A" w:rsidP="00CA050A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CA050A" w:rsidRDefault="00557E02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  <w:r>
        <w:rPr>
          <w:rStyle w:val="a4"/>
          <w:rFonts w:ascii="Arial" w:hAnsi="Arial" w:cs="Arial"/>
          <w:color w:val="auto"/>
          <w:sz w:val="16"/>
          <w:u w:val="none"/>
        </w:rPr>
        <w:t>Лючина Ирина Станиславовна</w:t>
      </w:r>
    </w:p>
    <w:p w:rsidR="00CA050A" w:rsidRDefault="00CA050A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  <w:r>
        <w:rPr>
          <w:rStyle w:val="a4"/>
          <w:rFonts w:ascii="Arial" w:hAnsi="Arial" w:cs="Arial"/>
          <w:color w:val="auto"/>
          <w:sz w:val="16"/>
          <w:u w:val="none"/>
        </w:rPr>
        <w:t>Начальник отдела статистики</w:t>
      </w:r>
      <w:r w:rsidR="00557E02">
        <w:rPr>
          <w:rStyle w:val="a4"/>
          <w:rFonts w:ascii="Arial" w:hAnsi="Arial" w:cs="Arial"/>
          <w:color w:val="auto"/>
          <w:sz w:val="16"/>
          <w:u w:val="none"/>
        </w:rPr>
        <w:t xml:space="preserve"> труда, науки и населения</w:t>
      </w:r>
      <w:r>
        <w:rPr>
          <w:rStyle w:val="a4"/>
          <w:rFonts w:ascii="Arial" w:hAnsi="Arial" w:cs="Arial"/>
          <w:color w:val="auto"/>
          <w:sz w:val="16"/>
          <w:u w:val="none"/>
        </w:rPr>
        <w:t xml:space="preserve"> </w:t>
      </w:r>
    </w:p>
    <w:p w:rsidR="00CA050A" w:rsidRDefault="00557E02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  <w:r>
        <w:rPr>
          <w:rStyle w:val="a4"/>
          <w:rFonts w:ascii="Arial" w:hAnsi="Arial" w:cs="Arial"/>
          <w:color w:val="auto"/>
          <w:sz w:val="16"/>
          <w:u w:val="none"/>
        </w:rPr>
        <w:t>тел. (4922  33-45-32</w:t>
      </w:r>
      <w:r w:rsidR="00CA050A">
        <w:rPr>
          <w:rStyle w:val="a4"/>
          <w:rFonts w:ascii="Arial" w:hAnsi="Arial" w:cs="Arial"/>
          <w:color w:val="auto"/>
          <w:sz w:val="16"/>
          <w:u w:val="none"/>
        </w:rPr>
        <w:t>)</w:t>
      </w:r>
    </w:p>
    <w:p w:rsidR="00302723" w:rsidRDefault="00302723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  <w:proofErr w:type="gramStart"/>
      <w:r w:rsidRPr="00F04A4B">
        <w:rPr>
          <w:rFonts w:ascii="Arial" w:hAnsi="Arial" w:cs="Arial"/>
          <w:sz w:val="16"/>
          <w:lang w:val="en-US"/>
        </w:rPr>
        <w:t>mailto</w:t>
      </w:r>
      <w:proofErr w:type="gramEnd"/>
      <w:r w:rsidRPr="00771F34">
        <w:rPr>
          <w:rFonts w:ascii="Arial" w:hAnsi="Arial" w:cs="Arial"/>
          <w:sz w:val="16"/>
        </w:rPr>
        <w:t>:</w:t>
      </w:r>
      <w:hyperlink r:id="rId11" w:history="1">
        <w:r w:rsidR="007167EF" w:rsidRPr="00D72ADE">
          <w:rPr>
            <w:rStyle w:val="a4"/>
            <w:rFonts w:ascii="Arial" w:hAnsi="Arial" w:cs="Arial"/>
            <w:sz w:val="16"/>
          </w:rPr>
          <w:t>P33_luchina@gks.ru</w:t>
        </w:r>
      </w:hyperlink>
    </w:p>
    <w:p w:rsidR="00302723" w:rsidRDefault="00302723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</w:p>
    <w:p w:rsidR="00302723" w:rsidRDefault="00302723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</w:p>
    <w:p w:rsidR="00302723" w:rsidRDefault="00302723" w:rsidP="00302723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Солдатова Наталья Михайловна, </w:t>
      </w:r>
    </w:p>
    <w:p w:rsidR="00302723" w:rsidRDefault="00302723" w:rsidP="00302723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специалист  </w:t>
      </w:r>
      <w:proofErr w:type="spellStart"/>
      <w:r>
        <w:rPr>
          <w:rFonts w:ascii="Arial" w:hAnsi="Arial" w:cs="Arial"/>
          <w:sz w:val="16"/>
        </w:rPr>
        <w:t>Владимирстата</w:t>
      </w:r>
      <w:proofErr w:type="spellEnd"/>
      <w:r>
        <w:rPr>
          <w:rFonts w:ascii="Arial" w:hAnsi="Arial" w:cs="Arial"/>
          <w:sz w:val="16"/>
        </w:rPr>
        <w:t xml:space="preserve"> по взаимодействию  со СМИ</w:t>
      </w:r>
    </w:p>
    <w:p w:rsidR="00302723" w:rsidRDefault="00302723" w:rsidP="00302723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тел. (4922 534167); </w:t>
      </w:r>
      <w:r w:rsidRPr="005D4BDE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моб</w:t>
      </w:r>
      <w:r w:rsidRPr="005D4BDE">
        <w:rPr>
          <w:rFonts w:ascii="Arial" w:hAnsi="Arial" w:cs="Arial"/>
          <w:sz w:val="16"/>
        </w:rPr>
        <w:t>.</w:t>
      </w:r>
      <w:r w:rsidRPr="00F04A4B">
        <w:rPr>
          <w:rFonts w:ascii="Arial" w:hAnsi="Arial" w:cs="Arial"/>
          <w:sz w:val="16"/>
          <w:lang w:val="en-US"/>
        </w:rPr>
        <w:t> </w:t>
      </w:r>
      <w:r w:rsidRPr="005D4BDE">
        <w:rPr>
          <w:rFonts w:ascii="Arial" w:hAnsi="Arial" w:cs="Arial"/>
          <w:sz w:val="16"/>
        </w:rPr>
        <w:t xml:space="preserve"> 8 930 740 88 65 </w:t>
      </w:r>
    </w:p>
    <w:p w:rsidR="00302723" w:rsidRDefault="00302723" w:rsidP="00302723">
      <w:pPr>
        <w:jc w:val="both"/>
        <w:rPr>
          <w:rStyle w:val="a4"/>
          <w:rFonts w:ascii="Arial" w:hAnsi="Arial" w:cs="Arial"/>
          <w:sz w:val="16"/>
        </w:rPr>
      </w:pPr>
      <w:proofErr w:type="gramStart"/>
      <w:r w:rsidRPr="00F04A4B">
        <w:rPr>
          <w:rFonts w:ascii="Arial" w:hAnsi="Arial" w:cs="Arial"/>
          <w:sz w:val="16"/>
          <w:lang w:val="en-US"/>
        </w:rPr>
        <w:t>mailto</w:t>
      </w:r>
      <w:proofErr w:type="gramEnd"/>
      <w:r w:rsidRPr="00771F34">
        <w:rPr>
          <w:rFonts w:ascii="Arial" w:hAnsi="Arial" w:cs="Arial"/>
          <w:sz w:val="16"/>
        </w:rPr>
        <w:t xml:space="preserve">: </w:t>
      </w:r>
      <w:hyperlink r:id="rId12" w:history="1">
        <w:r w:rsidRPr="00F04A4B">
          <w:rPr>
            <w:rStyle w:val="a4"/>
            <w:rFonts w:ascii="Arial" w:hAnsi="Arial" w:cs="Arial"/>
            <w:sz w:val="16"/>
            <w:lang w:val="en-US"/>
          </w:rPr>
          <w:t>P</w:t>
        </w:r>
        <w:r w:rsidRPr="00771F34">
          <w:rPr>
            <w:rStyle w:val="a4"/>
            <w:rFonts w:ascii="Arial" w:hAnsi="Arial" w:cs="Arial"/>
            <w:sz w:val="16"/>
          </w:rPr>
          <w:t>33_</w:t>
        </w:r>
        <w:r w:rsidRPr="00F04A4B">
          <w:rPr>
            <w:rStyle w:val="a4"/>
            <w:rFonts w:ascii="Arial" w:hAnsi="Arial" w:cs="Arial"/>
            <w:sz w:val="16"/>
            <w:lang w:val="en-US"/>
          </w:rPr>
          <w:t>nsoldatova</w:t>
        </w:r>
        <w:r w:rsidRPr="00771F34">
          <w:rPr>
            <w:rStyle w:val="a4"/>
            <w:rFonts w:ascii="Arial" w:hAnsi="Arial" w:cs="Arial"/>
            <w:sz w:val="16"/>
          </w:rPr>
          <w:t>@</w:t>
        </w:r>
        <w:r>
          <w:rPr>
            <w:rStyle w:val="a4"/>
            <w:rFonts w:ascii="Arial" w:hAnsi="Arial" w:cs="Arial"/>
            <w:sz w:val="16"/>
            <w:lang w:val="en-US"/>
          </w:rPr>
          <w:t>gks</w:t>
        </w:r>
        <w:r w:rsidRPr="00771F34">
          <w:rPr>
            <w:rStyle w:val="a4"/>
            <w:rFonts w:ascii="Arial" w:hAnsi="Arial" w:cs="Arial"/>
            <w:sz w:val="16"/>
          </w:rPr>
          <w:t>.</w:t>
        </w:r>
        <w:proofErr w:type="spellStart"/>
        <w:r>
          <w:rPr>
            <w:rStyle w:val="a4"/>
            <w:rFonts w:ascii="Arial" w:hAnsi="Arial" w:cs="Arial"/>
            <w:sz w:val="16"/>
            <w:lang w:val="en-US"/>
          </w:rPr>
          <w:t>ru</w:t>
        </w:r>
        <w:proofErr w:type="spellEnd"/>
      </w:hyperlink>
      <w:r w:rsidRPr="00771F34">
        <w:rPr>
          <w:rStyle w:val="a4"/>
          <w:rFonts w:ascii="Arial" w:hAnsi="Arial" w:cs="Arial"/>
          <w:sz w:val="16"/>
        </w:rPr>
        <w:t xml:space="preserve"> </w:t>
      </w:r>
    </w:p>
    <w:p w:rsidR="00302723" w:rsidRPr="00771F34" w:rsidRDefault="00210811" w:rsidP="00302723">
      <w:pPr>
        <w:jc w:val="both"/>
        <w:rPr>
          <w:rStyle w:val="a4"/>
          <w:rFonts w:ascii="Arial" w:hAnsi="Arial" w:cs="Arial"/>
          <w:sz w:val="16"/>
        </w:rPr>
      </w:pPr>
      <w:hyperlink r:id="rId13" w:history="1">
        <w:r w:rsidR="00302723" w:rsidRPr="00CA050A">
          <w:rPr>
            <w:rStyle w:val="a4"/>
            <w:rFonts w:ascii="Arial" w:hAnsi="Arial" w:cs="Arial"/>
            <w:sz w:val="16"/>
            <w:lang w:val="en-US"/>
          </w:rPr>
          <w:t>http</w:t>
        </w:r>
        <w:r w:rsidR="00302723" w:rsidRPr="00771F34">
          <w:rPr>
            <w:rStyle w:val="a4"/>
            <w:rFonts w:ascii="Arial" w:hAnsi="Arial" w:cs="Arial"/>
            <w:sz w:val="16"/>
          </w:rPr>
          <w:t>://</w:t>
        </w:r>
        <w:proofErr w:type="spellStart"/>
        <w:r w:rsidR="00302723" w:rsidRPr="00CA050A">
          <w:rPr>
            <w:rStyle w:val="a4"/>
            <w:rFonts w:ascii="Arial" w:hAnsi="Arial" w:cs="Arial"/>
            <w:sz w:val="16"/>
            <w:lang w:val="en-US"/>
          </w:rPr>
          <w:t>vladimirstat</w:t>
        </w:r>
        <w:proofErr w:type="spellEnd"/>
        <w:r w:rsidR="00302723" w:rsidRPr="00771F34">
          <w:rPr>
            <w:rStyle w:val="a4"/>
            <w:rFonts w:ascii="Arial" w:hAnsi="Arial" w:cs="Arial"/>
            <w:sz w:val="16"/>
          </w:rPr>
          <w:t>.</w:t>
        </w:r>
        <w:proofErr w:type="spellStart"/>
        <w:r w:rsidR="00302723" w:rsidRPr="00CA050A">
          <w:rPr>
            <w:rStyle w:val="a4"/>
            <w:rFonts w:ascii="Arial" w:hAnsi="Arial" w:cs="Arial"/>
            <w:sz w:val="16"/>
            <w:lang w:val="en-US"/>
          </w:rPr>
          <w:t>gks</w:t>
        </w:r>
        <w:proofErr w:type="spellEnd"/>
        <w:r w:rsidR="00302723" w:rsidRPr="00771F34">
          <w:rPr>
            <w:rStyle w:val="a4"/>
            <w:rFonts w:ascii="Arial" w:hAnsi="Arial" w:cs="Arial"/>
            <w:sz w:val="16"/>
          </w:rPr>
          <w:t>.</w:t>
        </w:r>
        <w:proofErr w:type="spellStart"/>
        <w:r w:rsidR="00302723" w:rsidRPr="00CA050A">
          <w:rPr>
            <w:rStyle w:val="a4"/>
            <w:rFonts w:ascii="Arial" w:hAnsi="Arial" w:cs="Arial"/>
            <w:sz w:val="16"/>
            <w:lang w:val="en-US"/>
          </w:rPr>
          <w:t>ru</w:t>
        </w:r>
        <w:proofErr w:type="spellEnd"/>
      </w:hyperlink>
      <w:r w:rsidR="00302723" w:rsidRPr="00771F34">
        <w:rPr>
          <w:rStyle w:val="a4"/>
          <w:rFonts w:ascii="Arial" w:hAnsi="Arial" w:cs="Arial"/>
          <w:sz w:val="16"/>
        </w:rPr>
        <w:t xml:space="preserve"> </w:t>
      </w:r>
    </w:p>
    <w:p w:rsidR="00302723" w:rsidRDefault="00302723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302723" w:rsidRPr="00771F34" w:rsidRDefault="00302723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</w:p>
    <w:p w:rsidR="00CA050A" w:rsidRPr="00771F34" w:rsidRDefault="00CA050A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</w:p>
    <w:p w:rsidR="00CA050A" w:rsidRDefault="00CA050A" w:rsidP="00CA050A">
      <w:pPr>
        <w:ind w:firstLine="709"/>
        <w:jc w:val="both"/>
        <w:rPr>
          <w:rFonts w:ascii="Arial" w:hAnsi="Arial" w:cs="Arial"/>
        </w:rPr>
      </w:pPr>
      <w:r>
        <w:rPr>
          <w:b/>
          <w:color w:val="000000"/>
          <w:spacing w:val="-1"/>
          <w:sz w:val="22"/>
          <w:szCs w:val="22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>
        <w:rPr>
          <w:b/>
          <w:color w:val="000000"/>
          <w:sz w:val="22"/>
          <w:szCs w:val="22"/>
        </w:rPr>
        <w:t>обязательна</w:t>
      </w:r>
    </w:p>
    <w:p w:rsidR="00CA050A" w:rsidRDefault="00CA050A">
      <w:pPr>
        <w:spacing w:line="320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CA050A" w:rsidSect="00514E03">
      <w:footerReference w:type="even" r:id="rId14"/>
      <w:footerReference w:type="default" r:id="rId15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11" w:rsidRDefault="00210811">
      <w:r>
        <w:separator/>
      </w:r>
    </w:p>
  </w:endnote>
  <w:endnote w:type="continuationSeparator" w:id="0">
    <w:p w:rsidR="00210811" w:rsidRDefault="0021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6" w:rsidRDefault="00F343A6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43A6" w:rsidRDefault="00F343A6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6" w:rsidRDefault="00F343A6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623">
      <w:rPr>
        <w:rStyle w:val="a7"/>
        <w:noProof/>
      </w:rPr>
      <w:t>1</w:t>
    </w:r>
    <w:r>
      <w:rPr>
        <w:rStyle w:val="a7"/>
      </w:rPr>
      <w:fldChar w:fldCharType="end"/>
    </w:r>
  </w:p>
  <w:p w:rsidR="00F343A6" w:rsidRDefault="00F343A6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11" w:rsidRDefault="00210811">
      <w:r>
        <w:separator/>
      </w:r>
    </w:p>
  </w:footnote>
  <w:footnote w:type="continuationSeparator" w:id="0">
    <w:p w:rsidR="00210811" w:rsidRDefault="0021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58A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45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8C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AC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6F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03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2C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AE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FE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CD11AF"/>
    <w:multiLevelType w:val="hybridMultilevel"/>
    <w:tmpl w:val="A6A20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3D618B"/>
    <w:multiLevelType w:val="hybridMultilevel"/>
    <w:tmpl w:val="C434AC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0023"/>
    <w:rsid w:val="00002F61"/>
    <w:rsid w:val="00010169"/>
    <w:rsid w:val="00013A4B"/>
    <w:rsid w:val="00013E33"/>
    <w:rsid w:val="0001656F"/>
    <w:rsid w:val="000244AE"/>
    <w:rsid w:val="00026882"/>
    <w:rsid w:val="00027317"/>
    <w:rsid w:val="00030805"/>
    <w:rsid w:val="00032456"/>
    <w:rsid w:val="000331C5"/>
    <w:rsid w:val="000473FA"/>
    <w:rsid w:val="0005140A"/>
    <w:rsid w:val="00052EC8"/>
    <w:rsid w:val="000546FA"/>
    <w:rsid w:val="000563FF"/>
    <w:rsid w:val="00070F82"/>
    <w:rsid w:val="00071E81"/>
    <w:rsid w:val="000733B8"/>
    <w:rsid w:val="0007513F"/>
    <w:rsid w:val="00075160"/>
    <w:rsid w:val="00080272"/>
    <w:rsid w:val="000803AE"/>
    <w:rsid w:val="000819B4"/>
    <w:rsid w:val="00082423"/>
    <w:rsid w:val="000A00CF"/>
    <w:rsid w:val="000A3442"/>
    <w:rsid w:val="000A5479"/>
    <w:rsid w:val="000B1197"/>
    <w:rsid w:val="000B7E97"/>
    <w:rsid w:val="000C0896"/>
    <w:rsid w:val="000C316D"/>
    <w:rsid w:val="000C46FD"/>
    <w:rsid w:val="000C4C85"/>
    <w:rsid w:val="000C5A95"/>
    <w:rsid w:val="000D51A1"/>
    <w:rsid w:val="000D734B"/>
    <w:rsid w:val="000E063E"/>
    <w:rsid w:val="000E1E49"/>
    <w:rsid w:val="000E769D"/>
    <w:rsid w:val="000F22EA"/>
    <w:rsid w:val="000F3FBA"/>
    <w:rsid w:val="000F5438"/>
    <w:rsid w:val="001039E0"/>
    <w:rsid w:val="001053A3"/>
    <w:rsid w:val="00105B85"/>
    <w:rsid w:val="00106B43"/>
    <w:rsid w:val="00111A51"/>
    <w:rsid w:val="00121464"/>
    <w:rsid w:val="00121EF7"/>
    <w:rsid w:val="001235B7"/>
    <w:rsid w:val="00125628"/>
    <w:rsid w:val="00127DA4"/>
    <w:rsid w:val="00132665"/>
    <w:rsid w:val="00134970"/>
    <w:rsid w:val="00136F57"/>
    <w:rsid w:val="0013758E"/>
    <w:rsid w:val="001423BA"/>
    <w:rsid w:val="0014487B"/>
    <w:rsid w:val="00144DC0"/>
    <w:rsid w:val="00147390"/>
    <w:rsid w:val="00150289"/>
    <w:rsid w:val="001533F0"/>
    <w:rsid w:val="00157BDF"/>
    <w:rsid w:val="00164029"/>
    <w:rsid w:val="001745E3"/>
    <w:rsid w:val="0017479B"/>
    <w:rsid w:val="00175C37"/>
    <w:rsid w:val="001764C3"/>
    <w:rsid w:val="0018118F"/>
    <w:rsid w:val="00185DC5"/>
    <w:rsid w:val="00186DAA"/>
    <w:rsid w:val="001940F8"/>
    <w:rsid w:val="001940FF"/>
    <w:rsid w:val="00194A4D"/>
    <w:rsid w:val="001955EE"/>
    <w:rsid w:val="001959B0"/>
    <w:rsid w:val="00196182"/>
    <w:rsid w:val="001963F9"/>
    <w:rsid w:val="001A0016"/>
    <w:rsid w:val="001A3173"/>
    <w:rsid w:val="001A3548"/>
    <w:rsid w:val="001A5451"/>
    <w:rsid w:val="001B6C6D"/>
    <w:rsid w:val="001B776E"/>
    <w:rsid w:val="001C26BD"/>
    <w:rsid w:val="001C357D"/>
    <w:rsid w:val="001C79B6"/>
    <w:rsid w:val="001D100B"/>
    <w:rsid w:val="001D4278"/>
    <w:rsid w:val="001D6677"/>
    <w:rsid w:val="001E5705"/>
    <w:rsid w:val="001E5AF3"/>
    <w:rsid w:val="001F47FE"/>
    <w:rsid w:val="001F6F68"/>
    <w:rsid w:val="001F774F"/>
    <w:rsid w:val="0020267B"/>
    <w:rsid w:val="002031DE"/>
    <w:rsid w:val="00206C9E"/>
    <w:rsid w:val="00210811"/>
    <w:rsid w:val="00210E5D"/>
    <w:rsid w:val="00212008"/>
    <w:rsid w:val="002130AD"/>
    <w:rsid w:val="00220523"/>
    <w:rsid w:val="002226A1"/>
    <w:rsid w:val="0022342F"/>
    <w:rsid w:val="0022452D"/>
    <w:rsid w:val="00234445"/>
    <w:rsid w:val="00241784"/>
    <w:rsid w:val="00242263"/>
    <w:rsid w:val="00244B40"/>
    <w:rsid w:val="00244BED"/>
    <w:rsid w:val="00246508"/>
    <w:rsid w:val="00256CAF"/>
    <w:rsid w:val="00260562"/>
    <w:rsid w:val="00261757"/>
    <w:rsid w:val="00266CAC"/>
    <w:rsid w:val="00272AA2"/>
    <w:rsid w:val="002731BD"/>
    <w:rsid w:val="002733E5"/>
    <w:rsid w:val="002734D7"/>
    <w:rsid w:val="002745EF"/>
    <w:rsid w:val="00274ADA"/>
    <w:rsid w:val="00274E5D"/>
    <w:rsid w:val="0028004F"/>
    <w:rsid w:val="002815FB"/>
    <w:rsid w:val="002826BA"/>
    <w:rsid w:val="00283644"/>
    <w:rsid w:val="002849A9"/>
    <w:rsid w:val="00291282"/>
    <w:rsid w:val="0029172D"/>
    <w:rsid w:val="0029670D"/>
    <w:rsid w:val="00297C5D"/>
    <w:rsid w:val="002A2FEB"/>
    <w:rsid w:val="002A3FDA"/>
    <w:rsid w:val="002A4A84"/>
    <w:rsid w:val="002A6158"/>
    <w:rsid w:val="002A6CAF"/>
    <w:rsid w:val="002A7099"/>
    <w:rsid w:val="002A76BA"/>
    <w:rsid w:val="002A79F1"/>
    <w:rsid w:val="002A7CD4"/>
    <w:rsid w:val="002B0502"/>
    <w:rsid w:val="002B23D1"/>
    <w:rsid w:val="002B57CC"/>
    <w:rsid w:val="002B7657"/>
    <w:rsid w:val="002C3DDA"/>
    <w:rsid w:val="002D1DD0"/>
    <w:rsid w:val="002D4E50"/>
    <w:rsid w:val="002D6C43"/>
    <w:rsid w:val="002E21B5"/>
    <w:rsid w:val="002E3BCF"/>
    <w:rsid w:val="002E42B8"/>
    <w:rsid w:val="002E62AD"/>
    <w:rsid w:val="002E6483"/>
    <w:rsid w:val="002F4DC8"/>
    <w:rsid w:val="003002F3"/>
    <w:rsid w:val="00301ED6"/>
    <w:rsid w:val="00302723"/>
    <w:rsid w:val="00304DC5"/>
    <w:rsid w:val="00305120"/>
    <w:rsid w:val="003070D7"/>
    <w:rsid w:val="00314634"/>
    <w:rsid w:val="00314F9F"/>
    <w:rsid w:val="003211C3"/>
    <w:rsid w:val="00321696"/>
    <w:rsid w:val="0032397F"/>
    <w:rsid w:val="0032599E"/>
    <w:rsid w:val="00326B8F"/>
    <w:rsid w:val="00330623"/>
    <w:rsid w:val="00337802"/>
    <w:rsid w:val="003418A0"/>
    <w:rsid w:val="00343969"/>
    <w:rsid w:val="00345D1B"/>
    <w:rsid w:val="0035297F"/>
    <w:rsid w:val="0035332A"/>
    <w:rsid w:val="00363243"/>
    <w:rsid w:val="00364E0C"/>
    <w:rsid w:val="00371286"/>
    <w:rsid w:val="003825A3"/>
    <w:rsid w:val="00384D61"/>
    <w:rsid w:val="00385C28"/>
    <w:rsid w:val="00387FFA"/>
    <w:rsid w:val="00394DD9"/>
    <w:rsid w:val="003A0954"/>
    <w:rsid w:val="003B1116"/>
    <w:rsid w:val="003C08AC"/>
    <w:rsid w:val="003C7CF2"/>
    <w:rsid w:val="003D2BD1"/>
    <w:rsid w:val="003D79E0"/>
    <w:rsid w:val="003E0CDA"/>
    <w:rsid w:val="003E204F"/>
    <w:rsid w:val="003E29D3"/>
    <w:rsid w:val="003E6331"/>
    <w:rsid w:val="003F07C1"/>
    <w:rsid w:val="003F0DFA"/>
    <w:rsid w:val="003F1C27"/>
    <w:rsid w:val="00405981"/>
    <w:rsid w:val="00410149"/>
    <w:rsid w:val="00413477"/>
    <w:rsid w:val="004139D3"/>
    <w:rsid w:val="00413B1C"/>
    <w:rsid w:val="004172C8"/>
    <w:rsid w:val="0042352A"/>
    <w:rsid w:val="00423602"/>
    <w:rsid w:val="00427E20"/>
    <w:rsid w:val="00431794"/>
    <w:rsid w:val="00434C04"/>
    <w:rsid w:val="00434E06"/>
    <w:rsid w:val="0044128D"/>
    <w:rsid w:val="00443EE3"/>
    <w:rsid w:val="00446693"/>
    <w:rsid w:val="004478DE"/>
    <w:rsid w:val="00447A49"/>
    <w:rsid w:val="0045384D"/>
    <w:rsid w:val="0045544F"/>
    <w:rsid w:val="0045559D"/>
    <w:rsid w:val="00456864"/>
    <w:rsid w:val="00456C87"/>
    <w:rsid w:val="0046351E"/>
    <w:rsid w:val="00464BCA"/>
    <w:rsid w:val="00465CC1"/>
    <w:rsid w:val="004667C7"/>
    <w:rsid w:val="00467AB8"/>
    <w:rsid w:val="00472C72"/>
    <w:rsid w:val="00477876"/>
    <w:rsid w:val="00482C21"/>
    <w:rsid w:val="00484CA8"/>
    <w:rsid w:val="0048654D"/>
    <w:rsid w:val="00487A9A"/>
    <w:rsid w:val="0049292F"/>
    <w:rsid w:val="00493FF8"/>
    <w:rsid w:val="004956DD"/>
    <w:rsid w:val="004A0005"/>
    <w:rsid w:val="004A500B"/>
    <w:rsid w:val="004A65C7"/>
    <w:rsid w:val="004A7D5B"/>
    <w:rsid w:val="004B1459"/>
    <w:rsid w:val="004B2A36"/>
    <w:rsid w:val="004B2DA1"/>
    <w:rsid w:val="004B3D7F"/>
    <w:rsid w:val="004B507B"/>
    <w:rsid w:val="004C1253"/>
    <w:rsid w:val="004C3A51"/>
    <w:rsid w:val="004C3B66"/>
    <w:rsid w:val="004C585C"/>
    <w:rsid w:val="004C58FD"/>
    <w:rsid w:val="004D1274"/>
    <w:rsid w:val="004D24E4"/>
    <w:rsid w:val="004E5110"/>
    <w:rsid w:val="004F117C"/>
    <w:rsid w:val="004F189F"/>
    <w:rsid w:val="004F2F38"/>
    <w:rsid w:val="004F3B2C"/>
    <w:rsid w:val="004F5612"/>
    <w:rsid w:val="004F5B37"/>
    <w:rsid w:val="004F5FCF"/>
    <w:rsid w:val="004F67D1"/>
    <w:rsid w:val="004F67F8"/>
    <w:rsid w:val="005000FE"/>
    <w:rsid w:val="00501722"/>
    <w:rsid w:val="00501743"/>
    <w:rsid w:val="00504B80"/>
    <w:rsid w:val="00511223"/>
    <w:rsid w:val="0051152F"/>
    <w:rsid w:val="00513CBD"/>
    <w:rsid w:val="00514E03"/>
    <w:rsid w:val="00523E0E"/>
    <w:rsid w:val="00524C53"/>
    <w:rsid w:val="00525E03"/>
    <w:rsid w:val="00527635"/>
    <w:rsid w:val="00532C93"/>
    <w:rsid w:val="00533608"/>
    <w:rsid w:val="005350DA"/>
    <w:rsid w:val="00540DA0"/>
    <w:rsid w:val="00542972"/>
    <w:rsid w:val="00545371"/>
    <w:rsid w:val="00550BC8"/>
    <w:rsid w:val="00557E02"/>
    <w:rsid w:val="005633A3"/>
    <w:rsid w:val="00565172"/>
    <w:rsid w:val="0056670F"/>
    <w:rsid w:val="005711FB"/>
    <w:rsid w:val="005714E1"/>
    <w:rsid w:val="00575B60"/>
    <w:rsid w:val="00582343"/>
    <w:rsid w:val="005848E9"/>
    <w:rsid w:val="0059018A"/>
    <w:rsid w:val="00590BFB"/>
    <w:rsid w:val="005927F0"/>
    <w:rsid w:val="00595C07"/>
    <w:rsid w:val="00595DFB"/>
    <w:rsid w:val="005A108F"/>
    <w:rsid w:val="005A21F4"/>
    <w:rsid w:val="005B047E"/>
    <w:rsid w:val="005B3FCD"/>
    <w:rsid w:val="005B44E5"/>
    <w:rsid w:val="005B746D"/>
    <w:rsid w:val="005C0AD9"/>
    <w:rsid w:val="005C0D04"/>
    <w:rsid w:val="005C4E87"/>
    <w:rsid w:val="005D205F"/>
    <w:rsid w:val="005D2AB4"/>
    <w:rsid w:val="005D2F80"/>
    <w:rsid w:val="005E43C2"/>
    <w:rsid w:val="005E5EE3"/>
    <w:rsid w:val="005F1A83"/>
    <w:rsid w:val="005F501C"/>
    <w:rsid w:val="005F7B1C"/>
    <w:rsid w:val="00601114"/>
    <w:rsid w:val="006021CB"/>
    <w:rsid w:val="00602C2A"/>
    <w:rsid w:val="00604EDD"/>
    <w:rsid w:val="006067AC"/>
    <w:rsid w:val="00607CD8"/>
    <w:rsid w:val="0061004C"/>
    <w:rsid w:val="0061251B"/>
    <w:rsid w:val="006141FA"/>
    <w:rsid w:val="006206A8"/>
    <w:rsid w:val="006254ED"/>
    <w:rsid w:val="006302C9"/>
    <w:rsid w:val="00632768"/>
    <w:rsid w:val="00635316"/>
    <w:rsid w:val="00635969"/>
    <w:rsid w:val="0064154A"/>
    <w:rsid w:val="0064252A"/>
    <w:rsid w:val="0064355D"/>
    <w:rsid w:val="00647C4E"/>
    <w:rsid w:val="00653EC3"/>
    <w:rsid w:val="00654126"/>
    <w:rsid w:val="0065443E"/>
    <w:rsid w:val="0066365B"/>
    <w:rsid w:val="00663839"/>
    <w:rsid w:val="0066508D"/>
    <w:rsid w:val="0066527F"/>
    <w:rsid w:val="0066546A"/>
    <w:rsid w:val="00673D2F"/>
    <w:rsid w:val="00676819"/>
    <w:rsid w:val="006778E4"/>
    <w:rsid w:val="00677A32"/>
    <w:rsid w:val="00677A83"/>
    <w:rsid w:val="00681855"/>
    <w:rsid w:val="00681F15"/>
    <w:rsid w:val="00682227"/>
    <w:rsid w:val="00682AEE"/>
    <w:rsid w:val="00684402"/>
    <w:rsid w:val="0068759B"/>
    <w:rsid w:val="0069089D"/>
    <w:rsid w:val="00690B66"/>
    <w:rsid w:val="00692226"/>
    <w:rsid w:val="00693C1D"/>
    <w:rsid w:val="006974E0"/>
    <w:rsid w:val="006A1C39"/>
    <w:rsid w:val="006A34AA"/>
    <w:rsid w:val="006A732E"/>
    <w:rsid w:val="006B3FA8"/>
    <w:rsid w:val="006B4305"/>
    <w:rsid w:val="006B62CB"/>
    <w:rsid w:val="006B66B6"/>
    <w:rsid w:val="006B7B0D"/>
    <w:rsid w:val="006C7386"/>
    <w:rsid w:val="006D0F73"/>
    <w:rsid w:val="006D14D5"/>
    <w:rsid w:val="006D1C11"/>
    <w:rsid w:val="006D5FE9"/>
    <w:rsid w:val="006D78FC"/>
    <w:rsid w:val="006F0320"/>
    <w:rsid w:val="006F376A"/>
    <w:rsid w:val="006F787B"/>
    <w:rsid w:val="007003E3"/>
    <w:rsid w:val="00701D9B"/>
    <w:rsid w:val="00703031"/>
    <w:rsid w:val="00711431"/>
    <w:rsid w:val="007116B8"/>
    <w:rsid w:val="00711F21"/>
    <w:rsid w:val="00712542"/>
    <w:rsid w:val="00712C32"/>
    <w:rsid w:val="00715128"/>
    <w:rsid w:val="00715BC7"/>
    <w:rsid w:val="007167EF"/>
    <w:rsid w:val="007173F1"/>
    <w:rsid w:val="00726670"/>
    <w:rsid w:val="007306E8"/>
    <w:rsid w:val="00732038"/>
    <w:rsid w:val="0073584B"/>
    <w:rsid w:val="00735B3B"/>
    <w:rsid w:val="00735F32"/>
    <w:rsid w:val="0073745E"/>
    <w:rsid w:val="00740EAF"/>
    <w:rsid w:val="00746A3B"/>
    <w:rsid w:val="00746E83"/>
    <w:rsid w:val="00752CCA"/>
    <w:rsid w:val="0075502E"/>
    <w:rsid w:val="007620C4"/>
    <w:rsid w:val="00770CD6"/>
    <w:rsid w:val="00771F34"/>
    <w:rsid w:val="00772E05"/>
    <w:rsid w:val="00775DDC"/>
    <w:rsid w:val="00776AE7"/>
    <w:rsid w:val="00780F13"/>
    <w:rsid w:val="007927DD"/>
    <w:rsid w:val="00794571"/>
    <w:rsid w:val="00796878"/>
    <w:rsid w:val="00797300"/>
    <w:rsid w:val="007A19D8"/>
    <w:rsid w:val="007A55B3"/>
    <w:rsid w:val="007B231A"/>
    <w:rsid w:val="007B2884"/>
    <w:rsid w:val="007B4CE1"/>
    <w:rsid w:val="007B74E4"/>
    <w:rsid w:val="007C169D"/>
    <w:rsid w:val="007C585A"/>
    <w:rsid w:val="007D6610"/>
    <w:rsid w:val="007E26F3"/>
    <w:rsid w:val="007E75C1"/>
    <w:rsid w:val="007F0DFB"/>
    <w:rsid w:val="007F29C1"/>
    <w:rsid w:val="007F2CAB"/>
    <w:rsid w:val="007F43B3"/>
    <w:rsid w:val="008076E2"/>
    <w:rsid w:val="00812E33"/>
    <w:rsid w:val="00827539"/>
    <w:rsid w:val="00827C61"/>
    <w:rsid w:val="008305D8"/>
    <w:rsid w:val="00830A0B"/>
    <w:rsid w:val="00832746"/>
    <w:rsid w:val="0083480E"/>
    <w:rsid w:val="00836223"/>
    <w:rsid w:val="00851BA4"/>
    <w:rsid w:val="00854473"/>
    <w:rsid w:val="00856001"/>
    <w:rsid w:val="00856C08"/>
    <w:rsid w:val="00856F0A"/>
    <w:rsid w:val="00857656"/>
    <w:rsid w:val="00857B4B"/>
    <w:rsid w:val="008676A6"/>
    <w:rsid w:val="0087549B"/>
    <w:rsid w:val="008821FD"/>
    <w:rsid w:val="008842F1"/>
    <w:rsid w:val="0088432D"/>
    <w:rsid w:val="008853EA"/>
    <w:rsid w:val="00886299"/>
    <w:rsid w:val="00890F83"/>
    <w:rsid w:val="008A61BA"/>
    <w:rsid w:val="008A7A92"/>
    <w:rsid w:val="008B43EB"/>
    <w:rsid w:val="008C0BB6"/>
    <w:rsid w:val="008D56C8"/>
    <w:rsid w:val="008D793B"/>
    <w:rsid w:val="008E2BBE"/>
    <w:rsid w:val="008E2E28"/>
    <w:rsid w:val="008E7EBD"/>
    <w:rsid w:val="008F14BB"/>
    <w:rsid w:val="008F1715"/>
    <w:rsid w:val="008F1A44"/>
    <w:rsid w:val="00900F4E"/>
    <w:rsid w:val="00902465"/>
    <w:rsid w:val="009035E8"/>
    <w:rsid w:val="00906DF7"/>
    <w:rsid w:val="00911445"/>
    <w:rsid w:val="00916117"/>
    <w:rsid w:val="00921D25"/>
    <w:rsid w:val="00922E34"/>
    <w:rsid w:val="00924A40"/>
    <w:rsid w:val="00927ED2"/>
    <w:rsid w:val="00931340"/>
    <w:rsid w:val="00932708"/>
    <w:rsid w:val="00933B91"/>
    <w:rsid w:val="00933BA1"/>
    <w:rsid w:val="0093463C"/>
    <w:rsid w:val="00934BBD"/>
    <w:rsid w:val="00940565"/>
    <w:rsid w:val="0094141B"/>
    <w:rsid w:val="009442D8"/>
    <w:rsid w:val="00944827"/>
    <w:rsid w:val="00945D36"/>
    <w:rsid w:val="009574D8"/>
    <w:rsid w:val="00966DC6"/>
    <w:rsid w:val="009716D0"/>
    <w:rsid w:val="00973C4B"/>
    <w:rsid w:val="009821DE"/>
    <w:rsid w:val="009860AB"/>
    <w:rsid w:val="00987314"/>
    <w:rsid w:val="00991681"/>
    <w:rsid w:val="00995339"/>
    <w:rsid w:val="009A1457"/>
    <w:rsid w:val="009B0B42"/>
    <w:rsid w:val="009B12BF"/>
    <w:rsid w:val="009B4273"/>
    <w:rsid w:val="009B6CDF"/>
    <w:rsid w:val="009B72BB"/>
    <w:rsid w:val="009C0390"/>
    <w:rsid w:val="009C2785"/>
    <w:rsid w:val="009C3067"/>
    <w:rsid w:val="009C4495"/>
    <w:rsid w:val="009D5B6C"/>
    <w:rsid w:val="009E2576"/>
    <w:rsid w:val="009E41DA"/>
    <w:rsid w:val="009E5431"/>
    <w:rsid w:val="009F103F"/>
    <w:rsid w:val="009F3A17"/>
    <w:rsid w:val="00A03A84"/>
    <w:rsid w:val="00A06AC3"/>
    <w:rsid w:val="00A07988"/>
    <w:rsid w:val="00A11E24"/>
    <w:rsid w:val="00A2034B"/>
    <w:rsid w:val="00A2064B"/>
    <w:rsid w:val="00A21B0E"/>
    <w:rsid w:val="00A2636B"/>
    <w:rsid w:val="00A27418"/>
    <w:rsid w:val="00A30CD1"/>
    <w:rsid w:val="00A32F34"/>
    <w:rsid w:val="00A44B88"/>
    <w:rsid w:val="00A51077"/>
    <w:rsid w:val="00A51106"/>
    <w:rsid w:val="00A5367A"/>
    <w:rsid w:val="00A60583"/>
    <w:rsid w:val="00A6236A"/>
    <w:rsid w:val="00A63B30"/>
    <w:rsid w:val="00A66F75"/>
    <w:rsid w:val="00A67428"/>
    <w:rsid w:val="00A70D4A"/>
    <w:rsid w:val="00A7722C"/>
    <w:rsid w:val="00A776FE"/>
    <w:rsid w:val="00A8731B"/>
    <w:rsid w:val="00A902B8"/>
    <w:rsid w:val="00A90DAB"/>
    <w:rsid w:val="00A9708D"/>
    <w:rsid w:val="00A9761A"/>
    <w:rsid w:val="00AA28CC"/>
    <w:rsid w:val="00AA6381"/>
    <w:rsid w:val="00AA6FC2"/>
    <w:rsid w:val="00AB01FC"/>
    <w:rsid w:val="00AB0360"/>
    <w:rsid w:val="00AB6F6D"/>
    <w:rsid w:val="00AC07A4"/>
    <w:rsid w:val="00AC2621"/>
    <w:rsid w:val="00AC472F"/>
    <w:rsid w:val="00AC5D51"/>
    <w:rsid w:val="00AD1789"/>
    <w:rsid w:val="00AD1E6C"/>
    <w:rsid w:val="00AD5268"/>
    <w:rsid w:val="00AE44FD"/>
    <w:rsid w:val="00AF1BAB"/>
    <w:rsid w:val="00AF2554"/>
    <w:rsid w:val="00AF68D0"/>
    <w:rsid w:val="00AF713F"/>
    <w:rsid w:val="00B00B30"/>
    <w:rsid w:val="00B01E08"/>
    <w:rsid w:val="00B05B3C"/>
    <w:rsid w:val="00B0788B"/>
    <w:rsid w:val="00B149EB"/>
    <w:rsid w:val="00B14DAC"/>
    <w:rsid w:val="00B1565B"/>
    <w:rsid w:val="00B15FEF"/>
    <w:rsid w:val="00B2065D"/>
    <w:rsid w:val="00B2355C"/>
    <w:rsid w:val="00B3087E"/>
    <w:rsid w:val="00B34396"/>
    <w:rsid w:val="00B34403"/>
    <w:rsid w:val="00B37594"/>
    <w:rsid w:val="00B44CC7"/>
    <w:rsid w:val="00B45D0E"/>
    <w:rsid w:val="00B47D99"/>
    <w:rsid w:val="00B54EFD"/>
    <w:rsid w:val="00B5592A"/>
    <w:rsid w:val="00B57B05"/>
    <w:rsid w:val="00B61AAB"/>
    <w:rsid w:val="00B64E9B"/>
    <w:rsid w:val="00B70A82"/>
    <w:rsid w:val="00B748F6"/>
    <w:rsid w:val="00B74EAD"/>
    <w:rsid w:val="00B77ED6"/>
    <w:rsid w:val="00B866BC"/>
    <w:rsid w:val="00B91AC2"/>
    <w:rsid w:val="00B920A1"/>
    <w:rsid w:val="00B944CD"/>
    <w:rsid w:val="00BA3F14"/>
    <w:rsid w:val="00BA6C52"/>
    <w:rsid w:val="00BB2500"/>
    <w:rsid w:val="00BB3703"/>
    <w:rsid w:val="00BB4105"/>
    <w:rsid w:val="00BB6BAF"/>
    <w:rsid w:val="00BB6C54"/>
    <w:rsid w:val="00BC125A"/>
    <w:rsid w:val="00BD5356"/>
    <w:rsid w:val="00BE0731"/>
    <w:rsid w:val="00BE44DC"/>
    <w:rsid w:val="00BE6123"/>
    <w:rsid w:val="00BE7676"/>
    <w:rsid w:val="00BF0B13"/>
    <w:rsid w:val="00BF279C"/>
    <w:rsid w:val="00BF5D41"/>
    <w:rsid w:val="00C06734"/>
    <w:rsid w:val="00C07B91"/>
    <w:rsid w:val="00C119CE"/>
    <w:rsid w:val="00C1741D"/>
    <w:rsid w:val="00C26E08"/>
    <w:rsid w:val="00C31EA6"/>
    <w:rsid w:val="00C32699"/>
    <w:rsid w:val="00C3311C"/>
    <w:rsid w:val="00C415C2"/>
    <w:rsid w:val="00C46FC5"/>
    <w:rsid w:val="00C52E96"/>
    <w:rsid w:val="00C53C8A"/>
    <w:rsid w:val="00C555AB"/>
    <w:rsid w:val="00C60373"/>
    <w:rsid w:val="00C605D2"/>
    <w:rsid w:val="00C62428"/>
    <w:rsid w:val="00C62609"/>
    <w:rsid w:val="00C63877"/>
    <w:rsid w:val="00C63E4D"/>
    <w:rsid w:val="00C67E74"/>
    <w:rsid w:val="00C70338"/>
    <w:rsid w:val="00C74CA1"/>
    <w:rsid w:val="00C801AC"/>
    <w:rsid w:val="00C831C0"/>
    <w:rsid w:val="00C853AF"/>
    <w:rsid w:val="00C93FB5"/>
    <w:rsid w:val="00C953F4"/>
    <w:rsid w:val="00CA050A"/>
    <w:rsid w:val="00CA6003"/>
    <w:rsid w:val="00CB371E"/>
    <w:rsid w:val="00CB5F8A"/>
    <w:rsid w:val="00CB6E86"/>
    <w:rsid w:val="00CB715F"/>
    <w:rsid w:val="00CC212F"/>
    <w:rsid w:val="00CC2F81"/>
    <w:rsid w:val="00CC6885"/>
    <w:rsid w:val="00CC7A9E"/>
    <w:rsid w:val="00CD3116"/>
    <w:rsid w:val="00CD3F0F"/>
    <w:rsid w:val="00CE7F4E"/>
    <w:rsid w:val="00CF0033"/>
    <w:rsid w:val="00CF7F60"/>
    <w:rsid w:val="00D025E1"/>
    <w:rsid w:val="00D06902"/>
    <w:rsid w:val="00D07AFB"/>
    <w:rsid w:val="00D223D9"/>
    <w:rsid w:val="00D2282F"/>
    <w:rsid w:val="00D250FB"/>
    <w:rsid w:val="00D370AD"/>
    <w:rsid w:val="00D41B55"/>
    <w:rsid w:val="00D449ED"/>
    <w:rsid w:val="00D454D1"/>
    <w:rsid w:val="00D4587A"/>
    <w:rsid w:val="00D4637D"/>
    <w:rsid w:val="00D46A35"/>
    <w:rsid w:val="00D57057"/>
    <w:rsid w:val="00D621E4"/>
    <w:rsid w:val="00D75A22"/>
    <w:rsid w:val="00D839F4"/>
    <w:rsid w:val="00D9154D"/>
    <w:rsid w:val="00D916CC"/>
    <w:rsid w:val="00D94A9C"/>
    <w:rsid w:val="00DA1024"/>
    <w:rsid w:val="00DA125C"/>
    <w:rsid w:val="00DB7AE0"/>
    <w:rsid w:val="00DC051B"/>
    <w:rsid w:val="00DC05D6"/>
    <w:rsid w:val="00DC227B"/>
    <w:rsid w:val="00DC355A"/>
    <w:rsid w:val="00DD2321"/>
    <w:rsid w:val="00DD3CC1"/>
    <w:rsid w:val="00DE6A1E"/>
    <w:rsid w:val="00DE6DB5"/>
    <w:rsid w:val="00DF0783"/>
    <w:rsid w:val="00DF6361"/>
    <w:rsid w:val="00DF6671"/>
    <w:rsid w:val="00DF6CAE"/>
    <w:rsid w:val="00E102A1"/>
    <w:rsid w:val="00E13039"/>
    <w:rsid w:val="00E144A0"/>
    <w:rsid w:val="00E22C7C"/>
    <w:rsid w:val="00E24ACE"/>
    <w:rsid w:val="00E2780A"/>
    <w:rsid w:val="00E36252"/>
    <w:rsid w:val="00E369F2"/>
    <w:rsid w:val="00E42D4D"/>
    <w:rsid w:val="00E45AFB"/>
    <w:rsid w:val="00E5310B"/>
    <w:rsid w:val="00E55279"/>
    <w:rsid w:val="00E65A3C"/>
    <w:rsid w:val="00E7642B"/>
    <w:rsid w:val="00E83085"/>
    <w:rsid w:val="00E852C8"/>
    <w:rsid w:val="00E865FD"/>
    <w:rsid w:val="00E93A69"/>
    <w:rsid w:val="00EA108C"/>
    <w:rsid w:val="00EA19CC"/>
    <w:rsid w:val="00EA6A2F"/>
    <w:rsid w:val="00EB2087"/>
    <w:rsid w:val="00EB3F38"/>
    <w:rsid w:val="00EB521D"/>
    <w:rsid w:val="00EB5C72"/>
    <w:rsid w:val="00EB6CCE"/>
    <w:rsid w:val="00EC40CC"/>
    <w:rsid w:val="00EC4AB4"/>
    <w:rsid w:val="00ED2B64"/>
    <w:rsid w:val="00ED44C9"/>
    <w:rsid w:val="00ED544F"/>
    <w:rsid w:val="00EE0222"/>
    <w:rsid w:val="00EE1FF7"/>
    <w:rsid w:val="00EE28FA"/>
    <w:rsid w:val="00EE4FD7"/>
    <w:rsid w:val="00EF7D89"/>
    <w:rsid w:val="00F073E7"/>
    <w:rsid w:val="00F125A2"/>
    <w:rsid w:val="00F12C8E"/>
    <w:rsid w:val="00F146D5"/>
    <w:rsid w:val="00F14FEF"/>
    <w:rsid w:val="00F24EB0"/>
    <w:rsid w:val="00F261F5"/>
    <w:rsid w:val="00F2767B"/>
    <w:rsid w:val="00F326C7"/>
    <w:rsid w:val="00F343A6"/>
    <w:rsid w:val="00F36A1F"/>
    <w:rsid w:val="00F40211"/>
    <w:rsid w:val="00F43991"/>
    <w:rsid w:val="00F44B46"/>
    <w:rsid w:val="00F6682E"/>
    <w:rsid w:val="00F67E6E"/>
    <w:rsid w:val="00F81BB7"/>
    <w:rsid w:val="00F82F34"/>
    <w:rsid w:val="00F83220"/>
    <w:rsid w:val="00F83F00"/>
    <w:rsid w:val="00F8795D"/>
    <w:rsid w:val="00F925C0"/>
    <w:rsid w:val="00F9570B"/>
    <w:rsid w:val="00FA201F"/>
    <w:rsid w:val="00FA2C90"/>
    <w:rsid w:val="00FA75D2"/>
    <w:rsid w:val="00FA7E39"/>
    <w:rsid w:val="00FB0CB5"/>
    <w:rsid w:val="00FB5396"/>
    <w:rsid w:val="00FB5E19"/>
    <w:rsid w:val="00FB5EDD"/>
    <w:rsid w:val="00FC3AA4"/>
    <w:rsid w:val="00FD332B"/>
    <w:rsid w:val="00FD7EC0"/>
    <w:rsid w:val="00FE1675"/>
    <w:rsid w:val="00FE1A4F"/>
    <w:rsid w:val="00FE3518"/>
    <w:rsid w:val="00FE6FA8"/>
    <w:rsid w:val="00FF0118"/>
    <w:rsid w:val="00FF39E5"/>
    <w:rsid w:val="00FF4035"/>
    <w:rsid w:val="00FF4746"/>
    <w:rsid w:val="00FF4DE7"/>
    <w:rsid w:val="00FF5127"/>
    <w:rsid w:val="00FF596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1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1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ladimirstat.gk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33_nsoldatova@gk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luchina@gk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44;&#1086;&#1082;&#1091;&#1084;&#1077;&#1085;&#1090;&#1099;%20&#1088;&#1072;&#1073;&#1086;&#1095;&#1080;&#1077;\&#1047;&#1072;&#1087;&#1080;&#1089;&#1082;&#1080;\2017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44;&#1086;&#1082;&#1091;&#1084;&#1077;&#1085;&#1090;&#1099;%20&#1088;&#1072;&#1073;&#1086;&#1095;&#1080;&#1077;\&#1047;&#1072;&#1087;&#1080;&#1089;&#1082;&#1080;\2018\&#1050;&#1085;&#1080;&#1075;&#1072;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062367592853379E-2"/>
          <c:y val="5.8184393623841986E-2"/>
          <c:w val="0.91293763240714665"/>
          <c:h val="0.80670015633057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Рабочая сила</c:v>
                </c:pt>
              </c:strCache>
            </c:strRef>
          </c:tx>
          <c:dLbls>
            <c:dLbl>
              <c:idx val="0"/>
              <c:layout>
                <c:manualLayout>
                  <c:x val="-4.7693105235873494E-2"/>
                  <c:y val="-5.2420313391704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957135801259718E-2"/>
                  <c:y val="-6.9003430815009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2514256091239E-2"/>
                  <c:y val="-6.5256187886680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208398133748056E-3"/>
                  <c:y val="-2.4415909013900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030585795749093E-2"/>
                  <c:y val="-3.4401797822837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177812337999039E-2"/>
                  <c:y val="-4.1716791248519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325038880248837E-2"/>
                  <c:y val="-3.8507807306325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177812337998963E-2"/>
                  <c:y val="-4.1716791248519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419906687403E-2"/>
                  <c:y val="-5.7761710959488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2441679626749611E-2"/>
                  <c:y val="-1.9253903653162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4515292897874546E-2"/>
                  <c:y val="-2.8880855479744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Лист1!$A$4:$A$8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Лист1!$B$4:$B$8</c:f>
              <c:numCache>
                <c:formatCode>General</c:formatCode>
                <c:ptCount val="5"/>
                <c:pt idx="0" formatCode="0.0">
                  <c:v>770.1</c:v>
                </c:pt>
                <c:pt idx="1">
                  <c:v>758.5</c:v>
                </c:pt>
                <c:pt idx="2" formatCode="0.0">
                  <c:v>760</c:v>
                </c:pt>
                <c:pt idx="3">
                  <c:v>736.7</c:v>
                </c:pt>
                <c:pt idx="4" formatCode="0.0">
                  <c:v>730.2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Занятые в экономике</c:v>
                </c:pt>
              </c:strCache>
            </c:strRef>
          </c:tx>
          <c:dLbls>
            <c:dLbl>
              <c:idx val="0"/>
              <c:layout>
                <c:manualLayout>
                  <c:x val="-3.3177812337998942E-2"/>
                  <c:y val="5.5449857247253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662682716759978E-2"/>
                  <c:y val="6.6512027862732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546041970259158E-2"/>
                  <c:y val="4.2793274119157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2514256091239E-2"/>
                  <c:y val="3.5298823364132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77812337998963E-2"/>
                  <c:y val="3.8507807306325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177812337999039E-2"/>
                  <c:y val="4.1716791248519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177812337998963E-2"/>
                  <c:y val="5.7761710959488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177812337998963E-2"/>
                  <c:y val="5.1343743075101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398652151373767E-2"/>
                  <c:y val="3.8507807306325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9766718506998445E-2"/>
                  <c:y val="3.8507807306325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1472265422498704E-2"/>
                  <c:y val="2.888085547974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Лист1!$A$4:$A$8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740.9</c:v>
                </c:pt>
                <c:pt idx="1">
                  <c:v>725.6</c:v>
                </c:pt>
                <c:pt idx="2">
                  <c:v>717.7</c:v>
                </c:pt>
                <c:pt idx="3">
                  <c:v>695.7</c:v>
                </c:pt>
                <c:pt idx="4">
                  <c:v>694.9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Безработные</c:v>
                </c:pt>
              </c:strCache>
            </c:strRef>
          </c:tx>
          <c:dLbls>
            <c:dLbl>
              <c:idx val="0"/>
              <c:layout>
                <c:manualLayout>
                  <c:x val="-3.3177812337998963E-2"/>
                  <c:y val="-3.5298823364132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441679626749611E-2"/>
                  <c:y val="-2.567187153755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441679626749649E-2"/>
                  <c:y val="-2.8880855479744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441679626749611E-2"/>
                  <c:y val="-1.9253903653162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030585795749093E-2"/>
                  <c:y val="-2.8880855479744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956972524624159E-2"/>
                  <c:y val="-3.2089839421938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2514256091239E-2"/>
                  <c:y val="-3.8507807306325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10419906687403E-2"/>
                  <c:y val="-3.8507807306325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177812337998963E-2"/>
                  <c:y val="-3.8507807306325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7325038880248837E-2"/>
                  <c:y val="-3.5298823364132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10419906687403E-2"/>
                  <c:y val="-2.8880855479744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Лист1!$A$4:$A$8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29.2</c:v>
                </c:pt>
                <c:pt idx="1">
                  <c:v>32.9</c:v>
                </c:pt>
                <c:pt idx="2">
                  <c:v>42.3</c:v>
                </c:pt>
                <c:pt idx="3" formatCode="0.0">
                  <c:v>41</c:v>
                </c:pt>
                <c:pt idx="4">
                  <c:v>35.299999999999997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09632"/>
        <c:axId val="29136000"/>
      </c:lineChart>
      <c:catAx>
        <c:axId val="2910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136000"/>
        <c:crosses val="autoZero"/>
        <c:auto val="1"/>
        <c:lblAlgn val="ctr"/>
        <c:lblOffset val="100"/>
        <c:noMultiLvlLbl val="0"/>
      </c:catAx>
      <c:valAx>
        <c:axId val="2913600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91096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571741032370949E-2"/>
          <c:y val="5.1400554097404488E-2"/>
          <c:w val="0.9115393700787402"/>
          <c:h val="0.8326195683872849"/>
        </c:manualLayout>
      </c:layout>
      <c:lineChart>
        <c:grouping val="stacked"/>
        <c:varyColors val="0"/>
        <c:ser>
          <c:idx val="0"/>
          <c:order val="0"/>
          <c:dLbls>
            <c:dLbl>
              <c:idx val="0"/>
              <c:layout>
                <c:manualLayout>
                  <c:x val="-8.3333333333333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444444444444448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611111111111111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77777777777777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775590551181104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</c:v>
                </c:pt>
                <c:pt idx="1">
                  <c:v>4.3</c:v>
                </c:pt>
                <c:pt idx="2">
                  <c:v>5.6</c:v>
                </c:pt>
                <c:pt idx="3">
                  <c:v>5.6</c:v>
                </c:pt>
                <c:pt idx="4">
                  <c:v>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196608"/>
        <c:axId val="66198144"/>
      </c:lineChart>
      <c:catAx>
        <c:axId val="6619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66198144"/>
        <c:crosses val="autoZero"/>
        <c:auto val="1"/>
        <c:lblAlgn val="ctr"/>
        <c:lblOffset val="100"/>
        <c:noMultiLvlLbl val="0"/>
      </c:catAx>
      <c:valAx>
        <c:axId val="6619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196608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44</cp:revision>
  <cp:lastPrinted>2018-03-14T08:49:00Z</cp:lastPrinted>
  <dcterms:created xsi:type="dcterms:W3CDTF">2018-01-22T10:14:00Z</dcterms:created>
  <dcterms:modified xsi:type="dcterms:W3CDTF">2018-03-14T08:55:00Z</dcterms:modified>
</cp:coreProperties>
</file>